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right="384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’Times New Roman’" w:eastAsia="仿宋_GB2312" w:cs="宋体"/>
          <w:b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1</w:t>
      </w:r>
      <w:r>
        <w:rPr>
          <w:rFonts w:hint="eastAsia" w:ascii="仿宋_GB2312" w:hAnsi="’Times New Roman’" w:eastAsia="仿宋_GB2312" w:cs="宋体"/>
          <w:b/>
          <w:kern w:val="0"/>
          <w:sz w:val="28"/>
          <w:szCs w:val="28"/>
        </w:rPr>
        <w:t>：</w:t>
      </w:r>
    </w:p>
    <w:p>
      <w:pPr>
        <w:widowControl/>
        <w:spacing w:line="560" w:lineRule="atLeast"/>
        <w:ind w:right="384" w:firstLine="551" w:firstLineChars="196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’Times New Roman’" w:eastAsia="仿宋_GB2312" w:cs="宋体"/>
          <w:b/>
          <w:kern w:val="0"/>
          <w:sz w:val="28"/>
          <w:szCs w:val="28"/>
        </w:rPr>
        <w:t>山东理工大学学年制学费收费标准</w:t>
      </w:r>
    </w:p>
    <w:tbl>
      <w:tblPr>
        <w:tblStyle w:val="3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340"/>
        <w:gridCol w:w="16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 w:val="24"/>
                <w:szCs w:val="21"/>
              </w:rPr>
              <w:t>专业类别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’Times New Roman’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 w:val="24"/>
                <w:szCs w:val="21"/>
              </w:rPr>
              <w:t>学费标准</w:t>
            </w:r>
            <w:r>
              <w:rPr>
                <w:rFonts w:hint="eastAsia" w:ascii="仿宋_GB2312" w:hAnsi="’Times New Roman’" w:eastAsia="仿宋_GB2312" w:cs="宋体"/>
                <w:kern w:val="0"/>
                <w:sz w:val="16"/>
                <w:szCs w:val="16"/>
              </w:rPr>
              <w:t>（单位：元/生.学年）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2013级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2014级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普通文法财经类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3400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普通理工农医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3600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color w:val="auto"/>
                <w:kern w:val="0"/>
                <w:szCs w:val="21"/>
              </w:rPr>
              <w:t>热门专业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hint="eastAsia" w:ascii="仿宋_GB2312" w:hAnsi="宋体" w:eastAsia="仿宋_GB2312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6"/>
                <w:szCs w:val="16"/>
              </w:rPr>
              <w:t>相应专业学年标准上浮10%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英语（含师范类）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朝鲜语、日语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体育教育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艺术类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运动训练专业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中外合作办学学费（专科）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中外合作办学学费（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工科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中外合作办学学费（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艺术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25000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电子信息科学与技术（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校企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软件工程（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校企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8800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金融学（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校企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9600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信息管理与信息系统（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校企</w:t>
            </w:r>
            <w:r>
              <w:rPr>
                <w:rFonts w:hint="eastAsia" w:ascii="仿宋_GB2312" w:hAnsi="’Times New Roman’" w:eastAsia="仿宋_GB2312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文学类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其中：汉语言文学、英语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法学类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理学类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其中：数学与应用数学、物理学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工学类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经济学类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管理学类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kern w:val="0"/>
                <w:szCs w:val="21"/>
              </w:rPr>
              <w:t>其中：行政管理专业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hint="eastAsia" w:ascii="仿宋_GB2312" w:hAnsi="’Times New Roman’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’Times New Roman’" w:eastAsia="仿宋_GB2312" w:cs="宋体"/>
                <w:color w:val="auto"/>
                <w:kern w:val="0"/>
                <w:szCs w:val="21"/>
              </w:rPr>
              <w:t>特色专业（见附表三）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6336"/>
    <w:rsid w:val="46EB63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2016-07-06T08:28:00Z</dcterms:created>
  <dc:creator>thinkpad</dc:creator>
  <cp:lastModifiedBy>thinkpad</cp:lastModifiedBy>
  <dcterms:modified xsi:type="dcterms:W3CDTF">2016-07-06T08:29:29Z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