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附件3：</w:t>
      </w:r>
    </w:p>
    <w:p>
      <w:pPr>
        <w:widowControl/>
        <w:spacing w:line="560" w:lineRule="atLeast"/>
        <w:jc w:val="center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山东理工大学学分制与学年制学费标准对照一览表</w:t>
      </w:r>
      <w:r>
        <w:rPr>
          <w:rFonts w:hint="eastAsia" w:ascii="仿宋_GB2312" w:hAnsi="宋体" w:eastAsia="仿宋_GB2312" w:cs="宋体"/>
          <w:b/>
          <w:kern w:val="0"/>
          <w:sz w:val="22"/>
          <w:szCs w:val="22"/>
        </w:rPr>
        <w:t>（2014级及以后年级）</w:t>
      </w:r>
    </w:p>
    <w:tbl>
      <w:tblPr>
        <w:tblStyle w:val="4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1260"/>
        <w:gridCol w:w="2160"/>
        <w:gridCol w:w="756"/>
        <w:gridCol w:w="598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3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专业分类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学科门类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基本修业年限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基本学分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学分制学费标准（元／学分）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专业注册学费标准（元／生.学年）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学年制学费标准（元／生.学年）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日语、朝鲜语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法学、社会工作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理工农类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数学类、物理类、化学类、天文学类、地理科学类、大气科学类、海洋科学类、地球物理学类、生物科学类、统计学类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化学、地理信息科学、生物科学、生物技术信息与计算科学、统计学、光电信息科学与工程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数学与应用数学、物理学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力学类、机械类、仪器类、材料类、能源动力类、电气类、电子信息类、自动化类、计算机类、土木类、水利类、化工与制药类、交通运输类、海洋工程类、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机械设计制造及其自动化、车辆工程、能源与动力工程、电气工程及其自动化、自动化、计算机科学与技术、土木工程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成型及控制工程、测控技术与仪器、机械电子工程、交通工程、交通运输、农业机械化及其自动化、工业设计、食品科学与工程、电子信息工程、电子信息科学与技术、通信工程、数字媒体技术、软件技术、化学工程与工艺、应用化学、工程管理、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理工农类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环境科学与工程类、生物医学工程类、建筑类、生物工程类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冶金工程、测绘工程、环境工程、采矿工程、矿物加工工程、勘查技术与工程、资源循环科学与工程、材料科学与工程、材料化学、高分子材料与工程、生物工程、纺织工程</w:t>
            </w: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经济学类、财政学类、金融学类、经济与贸易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金融学、国际经济与贸易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管理学类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管理科学与工程、工商管理类、物流管理与工程类、工业工程类、电子商务类、旅游管理类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工业工程、工商管理、信息管理与信息系统、市场营销、财务管理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教育学中的体育教育类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5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体育教育类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75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2950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8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音乐与舞蹈学类、美术学类、设计学类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音乐学、音乐表演、美术学、视觉传达设计、环境设计、服装设计与工程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4750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8800</w:t>
            </w:r>
          </w:p>
        </w:tc>
      </w:tr>
    </w:tbl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941C2"/>
    <w:rsid w:val="4EC941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2016-07-06T08:30:00Z</dcterms:created>
  <dc:creator>thinkpad</dc:creator>
  <cp:lastModifiedBy>thinkpad</cp:lastModifiedBy>
  <dcterms:modified xsi:type="dcterms:W3CDTF">2016-07-06T08:30:47Z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