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0"/>
          <w:szCs w:val="30"/>
        </w:rPr>
      </w:pPr>
      <w:bookmarkStart w:id="0" w:name="_GoBack"/>
      <w:bookmarkEnd w:id="0"/>
      <w:r>
        <w:rPr>
          <w:rFonts w:hint="eastAsia"/>
          <w:b/>
          <w:bCs/>
          <w:sz w:val="32"/>
          <w:szCs w:val="32"/>
        </w:rPr>
        <w:t>业财一体化网报操作手册</w:t>
      </w:r>
    </w:p>
    <w:p>
      <w:pPr>
        <w:ind w:left="640"/>
        <w:rPr>
          <w:rFonts w:ascii="仿宋" w:hAnsi="仿宋" w:eastAsia="仿宋"/>
          <w:sz w:val="32"/>
          <w:szCs w:val="32"/>
        </w:rPr>
      </w:pPr>
    </w:p>
    <w:p>
      <w:pPr>
        <w:numPr>
          <w:ilvl w:val="0"/>
          <w:numId w:val="1"/>
        </w:numPr>
        <w:ind w:firstLine="640" w:firstLineChars="200"/>
        <w:rPr>
          <w:rFonts w:ascii="仿宋" w:hAnsi="仿宋" w:eastAsia="仿宋"/>
          <w:sz w:val="32"/>
          <w:szCs w:val="32"/>
        </w:rPr>
      </w:pPr>
      <w:r>
        <w:rPr>
          <w:rFonts w:hint="eastAsia" w:ascii="仿宋" w:hAnsi="仿宋" w:eastAsia="仿宋"/>
          <w:sz w:val="32"/>
          <w:szCs w:val="32"/>
        </w:rPr>
        <w:t>系统登录网址：210.44.191.158:8080/GXCWYTH（计财处官网页面也有系统登录页面链接，即【新系统】）</w:t>
      </w:r>
    </w:p>
    <w:p>
      <w:pPr>
        <w:ind w:firstLine="640" w:firstLineChars="200"/>
        <w:rPr>
          <w:rFonts w:ascii="仿宋" w:hAnsi="仿宋" w:eastAsia="仿宋"/>
          <w:sz w:val="32"/>
          <w:szCs w:val="32"/>
        </w:rPr>
      </w:pPr>
      <w:r>
        <w:rPr>
          <w:rFonts w:hint="eastAsia" w:ascii="仿宋" w:hAnsi="仿宋" w:eastAsia="仿宋"/>
          <w:sz w:val="32"/>
          <w:szCs w:val="32"/>
        </w:rPr>
        <w:t>账号为教师姓名或工号（研究生也可以登录系统，账号为姓名或学号），初始密码为：6个1（111111）</w:t>
      </w:r>
    </w:p>
    <w:p>
      <w:pPr>
        <w:numPr>
          <w:ilvl w:val="0"/>
          <w:numId w:val="1"/>
        </w:numPr>
        <w:ind w:firstLine="640" w:firstLineChars="200"/>
        <w:rPr>
          <w:rFonts w:ascii="仿宋" w:hAnsi="仿宋" w:eastAsia="仿宋"/>
          <w:sz w:val="32"/>
          <w:szCs w:val="32"/>
        </w:rPr>
      </w:pPr>
      <w:r>
        <w:rPr>
          <w:rFonts w:hint="eastAsia" w:ascii="仿宋" w:hAnsi="仿宋" w:eastAsia="仿宋"/>
          <w:sz w:val="32"/>
          <w:szCs w:val="32"/>
        </w:rPr>
        <w:t>第一次登录需对密码进行重新修改，新密码规则是字母与数字组合。</w:t>
      </w:r>
    </w:p>
    <w:p>
      <w:pPr>
        <w:numPr>
          <w:ilvl w:val="0"/>
          <w:numId w:val="1"/>
        </w:numPr>
        <w:ind w:firstLine="640" w:firstLineChars="200"/>
        <w:rPr>
          <w:rFonts w:ascii="仿宋" w:hAnsi="仿宋" w:eastAsia="仿宋"/>
          <w:sz w:val="32"/>
          <w:szCs w:val="32"/>
        </w:rPr>
      </w:pPr>
      <w:r>
        <w:rPr>
          <w:rFonts w:hint="eastAsia" w:ascii="仿宋" w:hAnsi="仿宋" w:eastAsia="仿宋"/>
          <w:sz w:val="32"/>
          <w:szCs w:val="32"/>
        </w:rPr>
        <w:t>登录系统之后，需对个人信息进行维护，如身份证号，联系方式，银行信息等。</w:t>
      </w:r>
    </w:p>
    <w:p>
      <w:pPr>
        <w:numPr>
          <w:ilvl w:val="0"/>
          <w:numId w:val="1"/>
        </w:numPr>
        <w:ind w:firstLine="640" w:firstLineChars="200"/>
        <w:rPr>
          <w:rFonts w:ascii="仿宋" w:hAnsi="仿宋" w:eastAsia="仿宋"/>
          <w:sz w:val="32"/>
          <w:szCs w:val="32"/>
        </w:rPr>
      </w:pPr>
      <w:r>
        <w:rPr>
          <w:rFonts w:hint="eastAsia" w:ascii="仿宋" w:hAnsi="仿宋" w:eastAsia="仿宋"/>
          <w:sz w:val="32"/>
          <w:szCs w:val="32"/>
        </w:rPr>
        <w:t>系统中关于报销主要用到的是日常业务、出差业务、借款业务以及公务接待业务，日常业务主要是针对办公费、咨询费、手续费、水费、电费、主办或承办的会议、培训费等一些基本的费用进行报销。出差业务主要是针对会议出差、培训出差或者是一些其他需要出差的业务进行报销。借款业务针对的是没有发票的情况下先进行借款，然后再进行日常报销。公务接待业务针对校外专家或者领导来访所产生的接待费用进行报销</w:t>
      </w:r>
    </w:p>
    <w:p>
      <w:pPr>
        <w:numPr>
          <w:ilvl w:val="0"/>
          <w:numId w:val="1"/>
        </w:numPr>
        <w:ind w:firstLine="640" w:firstLineChars="200"/>
        <w:rPr>
          <w:rFonts w:ascii="仿宋" w:hAnsi="仿宋" w:eastAsia="仿宋"/>
          <w:sz w:val="32"/>
          <w:szCs w:val="32"/>
        </w:rPr>
      </w:pPr>
      <w:r>
        <w:rPr>
          <w:rFonts w:hint="eastAsia" w:ascii="仿宋" w:hAnsi="仿宋" w:eastAsia="仿宋"/>
          <w:sz w:val="32"/>
          <w:szCs w:val="32"/>
        </w:rPr>
        <w:t>项目经费的查询：进入项目管理，然后点进去经费查询里面可以看到自己名下的所有项目的收支情况，看具体项目经费的明细账，双击此项目即可查看</w:t>
      </w:r>
    </w:p>
    <w:p>
      <w:pPr>
        <w:numPr>
          <w:ilvl w:val="0"/>
          <w:numId w:val="2"/>
        </w:numPr>
        <w:ind w:firstLine="643" w:firstLineChars="200"/>
        <w:rPr>
          <w:rFonts w:ascii="楷体" w:hAnsi="楷体" w:eastAsia="楷体"/>
          <w:b/>
          <w:sz w:val="32"/>
          <w:szCs w:val="32"/>
        </w:rPr>
      </w:pPr>
      <w:r>
        <w:rPr>
          <w:rFonts w:hint="eastAsia" w:ascii="楷体" w:hAnsi="楷体" w:eastAsia="楷体"/>
          <w:b/>
          <w:sz w:val="32"/>
          <w:szCs w:val="32"/>
        </w:rPr>
        <w:t>日常业务</w:t>
      </w:r>
    </w:p>
    <w:p>
      <w:pPr>
        <w:ind w:firstLine="640" w:firstLineChars="200"/>
        <w:rPr>
          <w:rFonts w:ascii="仿宋" w:hAnsi="仿宋" w:eastAsia="仿宋"/>
          <w:sz w:val="32"/>
          <w:szCs w:val="32"/>
        </w:rPr>
      </w:pPr>
      <w:r>
        <w:rPr>
          <w:rFonts w:hint="eastAsia" w:ascii="仿宋" w:hAnsi="仿宋" w:eastAsia="仿宋"/>
          <w:sz w:val="32"/>
          <w:szCs w:val="32"/>
        </w:rPr>
        <w:t>点击【日常业务】，进入到日常业务申请页面，然后点击右上角【增加】按钮，</w:t>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62245" cy="1090295"/>
            <wp:effectExtent l="0" t="0" r="1460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2245" cy="1090295"/>
                    </a:xfrm>
                    <a:prstGeom prst="rect">
                      <a:avLst/>
                    </a:prstGeom>
                    <a:noFill/>
                    <a:ln w="9525">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进入到日常业务申请页面，按照里面所提示的信息项据实填写，如果有一些特殊事项，如票据丢失、票据不完整等情况，选择【特殊情况】下拉框里面的值，然后在【特殊情况说明】里面填写特殊情况详细说明。</w:t>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69865" cy="254444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2544445"/>
                    </a:xfrm>
                    <a:prstGeom prst="rect">
                      <a:avLst/>
                    </a:prstGeom>
                    <a:noFill/>
                    <a:ln w="9525">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然后接着选择项目，点击项目名称下的【选择】按钮，进入到项目选择页面，其中选择项目页面默认出现的是自己名下的所有项目及自己所在部门的所有项目，如果需要选择非自己部门下的项目需要事先清楚项目编号是什么，然后输入项目编号进行详细查询</w:t>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71135" cy="2127885"/>
            <wp:effectExtent l="0" t="0" r="571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135" cy="2127885"/>
                    </a:xfrm>
                    <a:prstGeom prst="rect">
                      <a:avLst/>
                    </a:prstGeom>
                    <a:noFill/>
                    <a:ln w="9525">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接下来进行费用名称的选择，即选择相应的报销费用，及办公用品、会议费、水费、电费等，</w:t>
      </w:r>
    </w:p>
    <w:p>
      <w:pPr>
        <w:ind w:firstLine="640" w:firstLineChars="200"/>
        <w:rPr>
          <w:rFonts w:ascii="仿宋" w:hAnsi="仿宋" w:eastAsia="仿宋"/>
          <w:sz w:val="32"/>
          <w:szCs w:val="32"/>
        </w:rPr>
      </w:pPr>
      <w:r>
        <w:rPr>
          <w:rFonts w:hint="eastAsia" w:ascii="仿宋" w:hAnsi="仿宋" w:eastAsia="仿宋"/>
          <w:color w:val="FF0000"/>
          <w:sz w:val="32"/>
          <w:szCs w:val="32"/>
        </w:rPr>
        <w:t>其中【差旅费】是不可以走日常业务的</w:t>
      </w:r>
      <w:r>
        <w:rPr>
          <w:rFonts w:hint="eastAsia" w:ascii="仿宋" w:hAnsi="仿宋" w:eastAsia="仿宋"/>
          <w:sz w:val="32"/>
          <w:szCs w:val="32"/>
        </w:rPr>
        <w:t>，除【差旅费】之外的费用都可以进行选择，选择完费用之后接下来的报销金额以及票据张数都是据实填写</w:t>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74310" cy="2446020"/>
            <wp:effectExtent l="0" t="0" r="2540"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446020"/>
                    </a:xfrm>
                    <a:prstGeom prst="rect">
                      <a:avLst/>
                    </a:prstGeom>
                    <a:noFill/>
                    <a:ln w="9525">
                      <a:noFill/>
                    </a:ln>
                  </pic:spPr>
                </pic:pic>
              </a:graphicData>
            </a:graphic>
          </wp:inline>
        </w:drawing>
      </w:r>
    </w:p>
    <w:p>
      <w:pPr>
        <w:ind w:firstLine="640" w:firstLineChars="200"/>
        <w:jc w:val="left"/>
        <w:rPr>
          <w:rFonts w:ascii="仿宋" w:hAnsi="仿宋" w:eastAsia="仿宋"/>
          <w:sz w:val="32"/>
          <w:szCs w:val="32"/>
        </w:rPr>
      </w:pPr>
      <w:r>
        <w:rPr>
          <w:rFonts w:hint="eastAsia" w:ascii="仿宋" w:hAnsi="仿宋" w:eastAsia="仿宋"/>
          <w:sz w:val="32"/>
          <w:szCs w:val="32"/>
        </w:rPr>
        <w:t>当所有信息项填写完成，点击【下一步】进入到结算方式页面，结算方式默认有四种，即冲借款、对内支付、对外支付以及其它，【冲借款】结算方式针对的是之前在系统中走过借款单据，现在要将之前的那笔借款冲掉即使用【冲借款】方式；【对内支付】针对的是对在校老师及学生进行支付，按照人员类型进行选择。</w:t>
      </w:r>
      <w:r>
        <w:rPr>
          <w:rFonts w:ascii="仿宋" w:hAnsi="仿宋" w:eastAsia="仿宋"/>
          <w:sz w:val="32"/>
          <w:szCs w:val="32"/>
        </w:rPr>
        <w:drawing>
          <wp:inline distT="0" distB="0" distL="114300" distR="114300">
            <wp:extent cx="5268595" cy="2553335"/>
            <wp:effectExtent l="0" t="0" r="825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8595" cy="2553335"/>
                    </a:xfrm>
                    <a:prstGeom prst="rect">
                      <a:avLst/>
                    </a:prstGeom>
                    <a:noFill/>
                    <a:ln w="9525">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对外支付】针对的是对往来单位以及校外人员进行支付，选择【对外支付】方式之后，然后点击【选择】，进入到选择往来单位及校外人员页面，如果所想要选的往来单位或者校外人员在系统里面查询不到，需要点击页面上方有一个【增加】按钮，点击【增加】进入到增加信息页面，按照标红*填写相应的信息，填写完成点击【保存】，然后再进入到选择往来单位页面进行选择，即可查到</w:t>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66055" cy="2536825"/>
            <wp:effectExtent l="0" t="0" r="1079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6055" cy="2536825"/>
                    </a:xfrm>
                    <a:prstGeom prst="rect">
                      <a:avLst/>
                    </a:prstGeom>
                    <a:noFill/>
                    <a:ln w="9525">
                      <a:noFill/>
                    </a:ln>
                  </pic:spPr>
                </pic:pic>
              </a:graphicData>
            </a:graphic>
          </wp:inline>
        </w:drawing>
      </w:r>
    </w:p>
    <w:p>
      <w:pPr>
        <w:ind w:firstLine="640" w:firstLineChars="200"/>
        <w:rPr>
          <w:rFonts w:ascii="仿宋" w:hAnsi="仿宋" w:eastAsia="仿宋"/>
          <w:sz w:val="32"/>
          <w:szCs w:val="32"/>
        </w:rPr>
      </w:pPr>
      <w:r>
        <w:rPr>
          <w:rFonts w:ascii="仿宋" w:hAnsi="仿宋" w:eastAsia="仿宋"/>
          <w:sz w:val="32"/>
          <w:szCs w:val="32"/>
        </w:rPr>
        <w:drawing>
          <wp:inline distT="0" distB="0" distL="114300" distR="114300">
            <wp:extent cx="5268595" cy="2470150"/>
            <wp:effectExtent l="0" t="0" r="825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8595" cy="2470150"/>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其他】支付方式及点击支付类型下拉框，选择相应的支付方式，另外当所支付数量比较大时，可以选择【导入excel】点击下载模板，然后按照模板里面所需要填的字段信息，填入之后，然后选择文件，进行数据导入。</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4785" cy="2233295"/>
            <wp:effectExtent l="0" t="0" r="1206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4785" cy="223329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删除单据信息：需要删除多条单据信息，则选择多条单据信息，点击【批量删除】按钮，完成批量删除操作；如果只需要删除一条单据信息，则点击【删除】按钮即可。</w:t>
      </w:r>
    </w:p>
    <w:p>
      <w:pPr>
        <w:pStyle w:val="6"/>
        <w:numPr>
          <w:ilvl w:val="0"/>
          <w:numId w:val="2"/>
        </w:numPr>
        <w:spacing w:line="360" w:lineRule="auto"/>
        <w:ind w:firstLine="643"/>
        <w:rPr>
          <w:rFonts w:ascii="楷体" w:hAnsi="楷体" w:eastAsia="楷体"/>
          <w:b/>
          <w:sz w:val="32"/>
          <w:szCs w:val="32"/>
        </w:rPr>
      </w:pPr>
      <w:r>
        <w:rPr>
          <w:rFonts w:hint="eastAsia" w:ascii="楷体" w:hAnsi="楷体" w:eastAsia="楷体"/>
          <w:b/>
          <w:sz w:val="32"/>
          <w:szCs w:val="32"/>
        </w:rPr>
        <w:t>出差业务</w:t>
      </w:r>
    </w:p>
    <w:p>
      <w:pPr>
        <w:pStyle w:val="6"/>
        <w:spacing w:line="360" w:lineRule="auto"/>
        <w:ind w:firstLine="640"/>
        <w:rPr>
          <w:rFonts w:ascii="仿宋" w:hAnsi="仿宋" w:eastAsia="仿宋"/>
          <w:sz w:val="32"/>
          <w:szCs w:val="32"/>
        </w:rPr>
      </w:pPr>
      <w:r>
        <w:rPr>
          <w:rFonts w:hint="eastAsia" w:ascii="仿宋" w:hAnsi="仿宋" w:eastAsia="仿宋"/>
          <w:sz w:val="32"/>
          <w:szCs w:val="32"/>
        </w:rPr>
        <w:t>出差业务步骤为【出差业务事前申请】和【出差业务付款申请】，需要先填写【出差业务事前申请】，审核通过之后，然后再填写【出差业务付款申请】，详细步骤为先点击右上角【增加】按钮，进入到出差业务事前申请页面，按照里面的信息项进行如实填写，其中带有红色星号（</w:t>
      </w:r>
      <w:r>
        <w:rPr>
          <w:rFonts w:hint="eastAsia" w:ascii="仿宋" w:hAnsi="仿宋" w:eastAsia="仿宋"/>
          <w:color w:val="FF0000"/>
          <w:sz w:val="32"/>
          <w:szCs w:val="32"/>
        </w:rPr>
        <w:t>*</w:t>
      </w:r>
      <w:r>
        <w:rPr>
          <w:rFonts w:hint="eastAsia" w:ascii="仿宋" w:hAnsi="仿宋" w:eastAsia="仿宋"/>
          <w:sz w:val="32"/>
          <w:szCs w:val="32"/>
        </w:rPr>
        <w:t>）的为必填项，然后接下来进行项目选择是和【日常业务】相同，需要上传相应的</w:t>
      </w:r>
      <w:r>
        <w:rPr>
          <w:rFonts w:ascii="仿宋" w:hAnsi="仿宋" w:eastAsia="仿宋"/>
          <w:sz w:val="32"/>
          <w:szCs w:val="32"/>
        </w:rPr>
        <w:drawing>
          <wp:inline distT="0" distB="0" distL="114300" distR="114300">
            <wp:extent cx="5268595" cy="2595245"/>
            <wp:effectExtent l="0" t="0" r="825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8595" cy="259524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附件即点击【手机拍照】进行二维码扫描上传，或者点击右边的【选择】按钮，选择电脑里面的文件进行上传，然后接下来填写行程信息，即开始时间、结束时间、交通工具（可多选）、目的地省份及市区，填写完成之后点击右上角的【保存】或【保存并提交】即可。</w:t>
      </w:r>
    </w:p>
    <w:p>
      <w:pPr>
        <w:pStyle w:val="6"/>
        <w:spacing w:line="360" w:lineRule="auto"/>
        <w:ind w:firstLine="640"/>
        <w:rPr>
          <w:rFonts w:ascii="仿宋" w:hAnsi="仿宋" w:eastAsia="仿宋"/>
          <w:sz w:val="32"/>
          <w:szCs w:val="32"/>
        </w:rPr>
      </w:pPr>
      <w:r>
        <w:rPr>
          <w:rFonts w:hint="eastAsia" w:ascii="仿宋" w:hAnsi="仿宋" w:eastAsia="仿宋"/>
          <w:sz w:val="32"/>
          <w:szCs w:val="32"/>
        </w:rPr>
        <w:t>当出差事前申请审核通过之后，接着进行出差付款申请，首先点击右上角的【增加】按钮，进入到如下页面：</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8595" cy="2557145"/>
            <wp:effectExtent l="0" t="0" r="825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8595" cy="255714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选中事前审核通过的单据然后点击【下一步】，进入到付款申请页面</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8595" cy="2553335"/>
            <wp:effectExtent l="0" t="0" r="8255" b="184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68595" cy="255333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带【*】号为必填项，根据实际需要编辑差旅费报销单据的信息，进行相关信息的填写与修改，其中附件选择分类的类型为红色字体时为必传附件，确认无误后，点击【下一步】按钮即可进入结算方式页面进行结算方式选择，点击【上一步】按钮即可返回差旅费报销列表界面。结算方式页面与上面【日常业务】中结算方式相同，当结算方式信息填写完成之后，点击下方的【保存】或【保存并提交】即可，接下来由审核人进行审核，当负责人审核通过和财务处审核通过之后即可打印出纸质版并上交到财务</w:t>
      </w:r>
    </w:p>
    <w:p>
      <w:pPr>
        <w:pStyle w:val="6"/>
        <w:spacing w:line="360" w:lineRule="auto"/>
        <w:ind w:firstLine="640"/>
        <w:rPr>
          <w:rFonts w:ascii="仿宋" w:hAnsi="仿宋" w:eastAsia="仿宋"/>
          <w:color w:val="FF0000"/>
          <w:sz w:val="32"/>
          <w:szCs w:val="32"/>
        </w:rPr>
      </w:pPr>
      <w:r>
        <w:rPr>
          <w:rFonts w:hint="eastAsia" w:ascii="仿宋" w:hAnsi="仿宋" w:eastAsia="仿宋"/>
          <w:color w:val="FF0000"/>
          <w:sz w:val="32"/>
          <w:szCs w:val="32"/>
        </w:rPr>
        <w:t>***注：出差事前申请也可以等到实际出差回来之后进行填报,注明请假时间。</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74310" cy="2586990"/>
            <wp:effectExtent l="0" t="0" r="254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2586990"/>
                    </a:xfrm>
                    <a:prstGeom prst="rect">
                      <a:avLst/>
                    </a:prstGeom>
                    <a:noFill/>
                    <a:ln w="9525">
                      <a:noFill/>
                    </a:ln>
                  </pic:spPr>
                </pic:pic>
              </a:graphicData>
            </a:graphic>
          </wp:inline>
        </w:drawing>
      </w:r>
    </w:p>
    <w:p>
      <w:pPr>
        <w:pStyle w:val="6"/>
        <w:ind w:firstLine="640"/>
        <w:rPr>
          <w:rFonts w:ascii="仿宋" w:hAnsi="仿宋" w:eastAsia="仿宋"/>
          <w:sz w:val="32"/>
          <w:szCs w:val="32"/>
        </w:rPr>
      </w:pPr>
      <w:r>
        <w:rPr>
          <w:rFonts w:hint="eastAsia" w:ascii="仿宋" w:hAnsi="仿宋" w:eastAsia="仿宋"/>
          <w:sz w:val="32"/>
          <w:szCs w:val="32"/>
        </w:rPr>
        <w:t>审核状态为已提交、审核中或已通过时可查看单据的办理记录。</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9865" cy="1534795"/>
            <wp:effectExtent l="0" t="0" r="698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69865" cy="1534795"/>
                    </a:xfrm>
                    <a:prstGeom prst="rect">
                      <a:avLst/>
                    </a:prstGeom>
                    <a:noFill/>
                    <a:ln w="9525">
                      <a:noFill/>
                    </a:ln>
                  </pic:spPr>
                </pic:pic>
              </a:graphicData>
            </a:graphic>
          </wp:inline>
        </w:drawing>
      </w:r>
    </w:p>
    <w:p>
      <w:pPr>
        <w:pStyle w:val="6"/>
        <w:numPr>
          <w:ilvl w:val="0"/>
          <w:numId w:val="2"/>
        </w:numPr>
        <w:spacing w:line="360" w:lineRule="auto"/>
        <w:ind w:firstLine="643"/>
        <w:rPr>
          <w:rFonts w:ascii="楷体" w:hAnsi="楷体" w:eastAsia="楷体"/>
          <w:b/>
          <w:sz w:val="32"/>
          <w:szCs w:val="32"/>
        </w:rPr>
      </w:pPr>
      <w:r>
        <w:rPr>
          <w:rFonts w:hint="eastAsia" w:ascii="楷体" w:hAnsi="楷体" w:eastAsia="楷体"/>
          <w:b/>
          <w:sz w:val="32"/>
          <w:szCs w:val="32"/>
        </w:rPr>
        <w:t>借款业务</w:t>
      </w:r>
    </w:p>
    <w:p>
      <w:pPr>
        <w:pStyle w:val="6"/>
        <w:spacing w:line="360" w:lineRule="auto"/>
        <w:ind w:firstLine="640"/>
        <w:rPr>
          <w:rFonts w:ascii="仿宋" w:hAnsi="仿宋" w:eastAsia="仿宋"/>
          <w:sz w:val="32"/>
          <w:szCs w:val="32"/>
        </w:rPr>
      </w:pPr>
      <w:r>
        <w:rPr>
          <w:rFonts w:hint="eastAsia" w:ascii="仿宋" w:hAnsi="仿宋" w:eastAsia="仿宋"/>
          <w:sz w:val="32"/>
          <w:szCs w:val="32"/>
        </w:rPr>
        <w:t>点击【借款业务】进入到借款申请页面</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4785" cy="1080135"/>
            <wp:effectExtent l="0" t="0" r="1206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64785" cy="108013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页面的上半部分包含【查询】功能，能够快速根据审核状态、单据编号定位到所要操作的单据；通过右上角的【增加】、【批量删除】、【批量提交】可进行增加、批量删除、批量提交操作；页面下半部分为当前用户的借款申请单据，通过单据右侧的【编辑】、【删除】、【提交】、【查看】可进行相应编辑、删除、提交、查看操作。</w:t>
      </w:r>
    </w:p>
    <w:p>
      <w:pPr>
        <w:pStyle w:val="6"/>
        <w:spacing w:line="360" w:lineRule="auto"/>
        <w:ind w:firstLine="640"/>
        <w:rPr>
          <w:rFonts w:ascii="仿宋" w:hAnsi="仿宋" w:eastAsia="仿宋"/>
          <w:sz w:val="32"/>
          <w:szCs w:val="32"/>
        </w:rPr>
      </w:pPr>
      <w:r>
        <w:rPr>
          <w:rFonts w:hint="eastAsia" w:ascii="仿宋" w:hAnsi="仿宋" w:eastAsia="仿宋"/>
          <w:sz w:val="32"/>
          <w:szCs w:val="32"/>
        </w:rPr>
        <w:t>增加或者编辑借款申请信息：点击【增加】或者【编辑】按钮进入借款申请信息详情页面，展示如下图所示：</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2245" cy="2045335"/>
            <wp:effectExtent l="0" t="0" r="1460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62245" cy="2045335"/>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带【*】号为必填项，根据实际需要增加或者编辑项目的信息，进行相关信息的填写与修改，确认无误后，点击【下一步】进入到结算方式页面，结算方式页面所填与【日常业务】相同，然后填写完成之后点击【保存】或【保存并提交】即可</w:t>
      </w:r>
    </w:p>
    <w:p>
      <w:pPr>
        <w:pStyle w:val="6"/>
        <w:numPr>
          <w:ilvl w:val="0"/>
          <w:numId w:val="2"/>
        </w:numPr>
        <w:spacing w:line="360" w:lineRule="auto"/>
        <w:ind w:firstLine="643"/>
        <w:rPr>
          <w:rFonts w:ascii="楷体" w:hAnsi="楷体" w:eastAsia="楷体"/>
          <w:b/>
          <w:sz w:val="32"/>
          <w:szCs w:val="32"/>
        </w:rPr>
      </w:pPr>
      <w:r>
        <w:rPr>
          <w:rFonts w:hint="eastAsia" w:ascii="楷体" w:hAnsi="楷体" w:eastAsia="楷体"/>
          <w:b/>
          <w:sz w:val="32"/>
          <w:szCs w:val="32"/>
        </w:rPr>
        <w:t>经费查询</w:t>
      </w:r>
    </w:p>
    <w:p>
      <w:pPr>
        <w:pStyle w:val="6"/>
        <w:spacing w:line="360" w:lineRule="auto"/>
        <w:ind w:firstLine="640"/>
        <w:rPr>
          <w:rFonts w:ascii="仿宋" w:hAnsi="仿宋" w:eastAsia="仿宋"/>
          <w:sz w:val="32"/>
          <w:szCs w:val="32"/>
        </w:rPr>
      </w:pPr>
      <w:r>
        <w:rPr>
          <w:rFonts w:hint="eastAsia" w:ascii="仿宋" w:hAnsi="仿宋" w:eastAsia="仿宋"/>
          <w:sz w:val="32"/>
          <w:szCs w:val="32"/>
        </w:rPr>
        <w:t>点击【经费查询】即可进入到经费查询页面。经费查询里面包含有个人经费完成情况、个人经费收支明细、部门经费完成情况以及部门经费收支明细，可以通过对右边项目的详细信息进行查看，如项目余额、预算金额、剩余金额、可用金额及在途金额</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74310" cy="2432050"/>
            <wp:effectExtent l="0" t="0" r="254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2432050"/>
                    </a:xfrm>
                    <a:prstGeom prst="rect">
                      <a:avLst/>
                    </a:prstGeom>
                    <a:noFill/>
                    <a:ln w="9525">
                      <a:noFill/>
                    </a:ln>
                  </pic:spPr>
                </pic:pic>
              </a:graphicData>
            </a:graphic>
          </wp:inline>
        </w:drawing>
      </w:r>
    </w:p>
    <w:p>
      <w:pPr>
        <w:pStyle w:val="6"/>
        <w:spacing w:line="360" w:lineRule="auto"/>
        <w:ind w:firstLine="640"/>
        <w:rPr>
          <w:rFonts w:ascii="仿宋" w:hAnsi="仿宋" w:eastAsia="仿宋"/>
          <w:sz w:val="32"/>
          <w:szCs w:val="32"/>
        </w:rPr>
      </w:pPr>
      <w:r>
        <w:rPr>
          <w:rFonts w:hint="eastAsia" w:ascii="仿宋" w:hAnsi="仿宋" w:eastAsia="仿宋"/>
          <w:sz w:val="32"/>
          <w:szCs w:val="32"/>
        </w:rPr>
        <w:t>另外通过选中某个项目，鼠标进行双击即可查询这个项目的详细收支情况</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9230" cy="2622550"/>
            <wp:effectExtent l="0" t="0" r="762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69230" cy="2622550"/>
                    </a:xfrm>
                    <a:prstGeom prst="rect">
                      <a:avLst/>
                    </a:prstGeom>
                    <a:noFill/>
                    <a:ln w="9525">
                      <a:noFill/>
                    </a:ln>
                  </pic:spPr>
                </pic:pic>
              </a:graphicData>
            </a:graphic>
          </wp:inline>
        </w:drawing>
      </w:r>
    </w:p>
    <w:p>
      <w:pPr>
        <w:pStyle w:val="6"/>
        <w:numPr>
          <w:ilvl w:val="0"/>
          <w:numId w:val="2"/>
        </w:numPr>
        <w:spacing w:line="360" w:lineRule="auto"/>
        <w:ind w:firstLine="643"/>
        <w:rPr>
          <w:rFonts w:ascii="楷体" w:hAnsi="楷体" w:eastAsia="楷体"/>
          <w:b/>
          <w:sz w:val="32"/>
          <w:szCs w:val="32"/>
        </w:rPr>
      </w:pPr>
      <w:r>
        <w:rPr>
          <w:rFonts w:hint="eastAsia" w:ascii="楷体" w:hAnsi="楷体" w:eastAsia="楷体"/>
          <w:b/>
          <w:sz w:val="32"/>
          <w:szCs w:val="32"/>
        </w:rPr>
        <w:t>我的申请</w:t>
      </w:r>
    </w:p>
    <w:p>
      <w:pPr>
        <w:pStyle w:val="6"/>
        <w:spacing w:line="360" w:lineRule="auto"/>
        <w:ind w:firstLine="640"/>
        <w:rPr>
          <w:rFonts w:ascii="仿宋" w:hAnsi="仿宋" w:eastAsia="仿宋"/>
          <w:sz w:val="32"/>
          <w:szCs w:val="32"/>
        </w:rPr>
      </w:pPr>
      <w:r>
        <w:rPr>
          <w:rFonts w:hint="eastAsia" w:ascii="仿宋" w:hAnsi="仿宋" w:eastAsia="仿宋"/>
          <w:sz w:val="32"/>
          <w:szCs w:val="32"/>
        </w:rPr>
        <w:t>点击【我的申请】，进入到【我的申请】页面，在【我的申请】页面里面可以看到日常业务、出差业务以及借款业务和公务接待业务所提交的单据，可以在这里面看到自己名下提交的所有单据以及单据目前的审核状态，另外当需要打印时也可以在【我的申请】页面里面进行打印</w:t>
      </w:r>
    </w:p>
    <w:p>
      <w:pPr>
        <w:pStyle w:val="6"/>
        <w:spacing w:line="360" w:lineRule="auto"/>
        <w:ind w:firstLine="640"/>
        <w:rPr>
          <w:rFonts w:ascii="仿宋" w:hAnsi="仿宋" w:eastAsia="仿宋"/>
          <w:sz w:val="32"/>
          <w:szCs w:val="32"/>
        </w:rPr>
      </w:pPr>
      <w:r>
        <w:rPr>
          <w:rFonts w:ascii="仿宋" w:hAnsi="仿宋" w:eastAsia="仿宋"/>
          <w:sz w:val="32"/>
          <w:szCs w:val="32"/>
        </w:rPr>
        <w:drawing>
          <wp:inline distT="0" distB="0" distL="114300" distR="114300">
            <wp:extent cx="5268595" cy="2387600"/>
            <wp:effectExtent l="0" t="0" r="8255"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68595" cy="2387600"/>
                    </a:xfrm>
                    <a:prstGeom prst="rect">
                      <a:avLst/>
                    </a:prstGeom>
                    <a:noFill/>
                    <a:ln w="9525">
                      <a:noFill/>
                    </a:ln>
                  </pic:spPr>
                </pic:pic>
              </a:graphicData>
            </a:graphic>
          </wp:inline>
        </w:drawing>
      </w:r>
    </w:p>
    <w:p>
      <w:pPr>
        <w:pStyle w:val="6"/>
        <w:numPr>
          <w:ilvl w:val="0"/>
          <w:numId w:val="2"/>
        </w:numPr>
        <w:spacing w:line="360" w:lineRule="auto"/>
        <w:ind w:firstLine="643"/>
        <w:rPr>
          <w:rFonts w:ascii="楷体" w:hAnsi="楷体" w:eastAsia="楷体"/>
          <w:b/>
          <w:sz w:val="32"/>
          <w:szCs w:val="32"/>
        </w:rPr>
      </w:pPr>
      <w:r>
        <w:rPr>
          <w:rFonts w:hint="eastAsia" w:ascii="楷体" w:hAnsi="楷体" w:eastAsia="楷体"/>
          <w:b/>
          <w:sz w:val="32"/>
          <w:szCs w:val="32"/>
        </w:rPr>
        <w:t>退回业务</w:t>
      </w:r>
    </w:p>
    <w:p>
      <w:pPr>
        <w:pStyle w:val="6"/>
        <w:spacing w:line="360" w:lineRule="auto"/>
        <w:ind w:firstLine="640"/>
        <w:rPr>
          <w:rFonts w:ascii="仿宋" w:hAnsi="仿宋" w:eastAsia="仿宋"/>
          <w:sz w:val="32"/>
          <w:szCs w:val="32"/>
        </w:rPr>
      </w:pPr>
      <w:r>
        <w:rPr>
          <w:rFonts w:hint="eastAsia" w:ascii="仿宋" w:hAnsi="仿宋" w:eastAsia="仿宋"/>
          <w:sz w:val="32"/>
          <w:szCs w:val="32"/>
        </w:rPr>
        <w:t>点击【退回业务】，退回业务主要针对的是财务老师审核需要退回修改的单据，【退回业务】里面所看到的单据都是未涉及到需要修改报销总金额以及项目的，在【退回业务】里面进行单据编辑修改，修改完成之后点击【提交】即可直接提交到财务处，不用再重新走审批流程</w:t>
      </w:r>
    </w:p>
    <w:p>
      <w:pPr>
        <w:pStyle w:val="6"/>
        <w:spacing w:line="360" w:lineRule="auto"/>
        <w:ind w:firstLine="640"/>
        <w:rPr>
          <w:rFonts w:ascii="仿宋" w:hAnsi="仿宋" w:eastAsia="仿宋"/>
          <w:sz w:val="32"/>
          <w:szCs w:val="32"/>
        </w:rPr>
      </w:pPr>
    </w:p>
    <w:p>
      <w:pPr>
        <w:pStyle w:val="6"/>
        <w:spacing w:line="360" w:lineRule="auto"/>
        <w:ind w:firstLine="640"/>
        <w:rPr>
          <w:rFonts w:ascii="仿宋" w:hAnsi="仿宋" w:eastAsia="仿宋"/>
          <w:sz w:val="32"/>
          <w:szCs w:val="32"/>
        </w:rPr>
      </w:pPr>
    </w:p>
    <w:p>
      <w:pPr>
        <w:pStyle w:val="6"/>
        <w:ind w:firstLine="640"/>
        <w:rPr>
          <w:rFonts w:ascii="仿宋" w:hAnsi="仿宋" w:eastAsia="仿宋"/>
          <w:sz w:val="32"/>
          <w:szCs w:val="32"/>
        </w:rPr>
      </w:pPr>
    </w:p>
    <w:p>
      <w:pPr>
        <w:ind w:firstLine="640" w:firstLineChars="200"/>
        <w:jc w:val="left"/>
        <w:rPr>
          <w:rFonts w:ascii="仿宋" w:hAnsi="仿宋" w:eastAsia="仿宋"/>
          <w:kern w:val="0"/>
          <w:sz w:val="32"/>
          <w:szCs w:val="32"/>
        </w:rPr>
      </w:pPr>
    </w:p>
    <w:p>
      <w:pPr>
        <w:ind w:firstLine="640" w:firstLineChars="200"/>
        <w:rPr>
          <w:rFonts w:ascii="仿宋" w:hAnsi="仿宋" w:eastAsia="仿宋"/>
          <w:sz w:val="32"/>
          <w:szCs w:val="32"/>
        </w:rPr>
      </w:pPr>
    </w:p>
    <w:p>
      <w:pPr>
        <w:ind w:firstLine="640" w:firstLineChars="200"/>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0DB25B"/>
    <w:multiLevelType w:val="singleLevel"/>
    <w:tmpl w:val="BC0DB25B"/>
    <w:lvl w:ilvl="0" w:tentative="0">
      <w:start w:val="1"/>
      <w:numFmt w:val="chineseCounting"/>
      <w:suff w:val="nothing"/>
      <w:lvlText w:val="%1、"/>
      <w:lvlJc w:val="left"/>
      <w:rPr>
        <w:rFonts w:hint="eastAsia"/>
      </w:rPr>
    </w:lvl>
  </w:abstractNum>
  <w:abstractNum w:abstractNumId="1">
    <w:nsid w:val="F8D8631E"/>
    <w:multiLevelType w:val="singleLevel"/>
    <w:tmpl w:val="F8D8631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245B67"/>
    <w:rsid w:val="0030635E"/>
    <w:rsid w:val="00350226"/>
    <w:rsid w:val="00451319"/>
    <w:rsid w:val="005D6BDF"/>
    <w:rsid w:val="008F40AB"/>
    <w:rsid w:val="00D55FCE"/>
    <w:rsid w:val="00FB3E60"/>
    <w:rsid w:val="45662CC9"/>
    <w:rsid w:val="45762DC4"/>
    <w:rsid w:val="72076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8"/>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paragraph" w:customStyle="1" w:styleId="6">
    <w:name w:val="列出段落1"/>
    <w:basedOn w:val="1"/>
    <w:qFormat/>
    <w:uiPriority w:val="34"/>
    <w:pPr>
      <w:ind w:firstLine="420" w:firstLineChars="200"/>
    </w:pPr>
  </w:style>
  <w:style w:type="character" w:customStyle="1" w:styleId="7">
    <w:name w:val="页眉 Char"/>
    <w:basedOn w:val="4"/>
    <w:link w:val="3"/>
    <w:qFormat/>
    <w:uiPriority w:val="0"/>
    <w:rPr>
      <w:rFonts w:asciiTheme="minorHAnsi" w:hAnsiTheme="minorHAnsi" w:eastAsiaTheme="minorEastAsia" w:cstheme="minorBidi"/>
      <w:kern w:val="2"/>
      <w:sz w:val="18"/>
      <w:szCs w:val="18"/>
    </w:rPr>
  </w:style>
  <w:style w:type="character" w:customStyle="1" w:styleId="8">
    <w:name w:val="页脚 Char"/>
    <w:basedOn w:val="4"/>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11</Pages>
  <Words>406</Words>
  <Characters>2315</Characters>
  <Lines>19</Lines>
  <Paragraphs>5</Paragraphs>
  <TotalTime>33</TotalTime>
  <ScaleCrop>false</ScaleCrop>
  <LinksUpToDate>false</LinksUpToDate>
  <CharactersWithSpaces>2716</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2019-09-16T14:14:00Z</dcterms:created>
  <dc:creator>Madman°</dc:creator>
  <cp:lastModifiedBy>WJY</cp:lastModifiedBy>
  <dcterms:modified xsi:type="dcterms:W3CDTF">2019-09-20T09:31:53Z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