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_GB2312" w:hAnsi="??_GB2312" w:eastAsia="Times New Roman" w:cs="Times New Roman"/>
          <w:b/>
          <w:bCs/>
          <w:kern w:val="0"/>
          <w:sz w:val="36"/>
          <w:szCs w:val="36"/>
          <w:shd w:val="clear" w:color="auto" w:fill="FFFFFF"/>
        </w:rPr>
      </w:pPr>
      <w:r>
        <w:rPr>
          <w:rFonts w:hint="eastAsia" w:ascii="宋体" w:hAnsi="宋体" w:cs="宋体"/>
          <w:b/>
          <w:bCs/>
          <w:kern w:val="0"/>
          <w:sz w:val="36"/>
          <w:szCs w:val="36"/>
          <w:shd w:val="clear" w:color="auto" w:fill="FFFFFF"/>
        </w:rPr>
        <w:t>山东理工大学财务报销手册</w:t>
      </w:r>
    </w:p>
    <w:p>
      <w:pPr>
        <w:jc w:val="center"/>
        <w:rPr>
          <w:rFonts w:ascii="??_GB2312" w:hAnsi="??_GB2312" w:eastAsia="Times New Roman" w:cs="Times New Roman"/>
          <w:b/>
          <w:bCs/>
          <w:kern w:val="0"/>
          <w:sz w:val="32"/>
          <w:szCs w:val="32"/>
          <w:shd w:val="clear" w:color="auto" w:fill="FFFFFF"/>
        </w:rPr>
      </w:pPr>
      <w:r>
        <w:rPr>
          <w:rFonts w:hint="eastAsia" w:ascii="宋体" w:hAnsi="宋体" w:cs="宋体"/>
          <w:b/>
          <w:bCs/>
          <w:kern w:val="0"/>
          <w:sz w:val="32"/>
          <w:szCs w:val="32"/>
          <w:shd w:val="clear" w:color="auto" w:fill="FFFFFF"/>
        </w:rPr>
        <w:t>第一部分</w:t>
      </w:r>
      <w:r>
        <w:rPr>
          <w:rFonts w:ascii="??_GB2312" w:hAnsi="??_GB2312" w:eastAsia="Times New Roman" w:cs="Times New Roman"/>
          <w:b/>
          <w:bCs/>
          <w:kern w:val="0"/>
          <w:sz w:val="32"/>
          <w:szCs w:val="32"/>
          <w:shd w:val="clear" w:color="auto" w:fill="FFFFFF"/>
        </w:rPr>
        <w:t xml:space="preserve"> </w:t>
      </w:r>
      <w:r>
        <w:rPr>
          <w:rFonts w:hint="eastAsia" w:ascii="??_GB2312" w:hAnsi="??_GB2312" w:cs="宋体"/>
          <w:b/>
          <w:bCs/>
          <w:kern w:val="0"/>
          <w:sz w:val="32"/>
          <w:szCs w:val="32"/>
          <w:shd w:val="clear" w:color="auto" w:fill="FFFFFF"/>
        </w:rPr>
        <w:t>报销</w:t>
      </w:r>
      <w:r>
        <w:rPr>
          <w:rFonts w:hint="eastAsia" w:ascii="宋体" w:hAnsi="宋体" w:cs="宋体"/>
          <w:b/>
          <w:bCs/>
          <w:kern w:val="0"/>
          <w:sz w:val="32"/>
          <w:szCs w:val="32"/>
          <w:shd w:val="clear" w:color="auto" w:fill="FFFFFF"/>
        </w:rPr>
        <w:t>总则</w:t>
      </w:r>
    </w:p>
    <w:p>
      <w:pPr>
        <w:ind w:firstLine="570"/>
        <w:jc w:val="left"/>
        <w:rPr>
          <w:rFonts w:ascii="??_GB2312" w:hAnsi="??_GB2312" w:eastAsia="Times New Roman" w:cs="Times New Roman"/>
          <w:b/>
          <w:bCs/>
          <w:sz w:val="32"/>
          <w:szCs w:val="32"/>
        </w:rPr>
      </w:pPr>
      <w:r>
        <w:rPr>
          <w:rFonts w:hint="eastAsia" w:ascii="宋体" w:hAnsi="宋体" w:cs="宋体"/>
          <w:b/>
          <w:bCs/>
          <w:sz w:val="32"/>
          <w:szCs w:val="32"/>
        </w:rPr>
        <w:t>一、报销票据</w:t>
      </w:r>
    </w:p>
    <w:p>
      <w:pPr>
        <w:ind w:firstLine="57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1、正规</w:t>
      </w:r>
      <w:r>
        <w:rPr>
          <w:rFonts w:hint="eastAsia" w:ascii="仿宋_GB2312" w:hAnsi="仿宋_GB2312" w:eastAsia="仿宋_GB2312" w:cs="仿宋_GB2312"/>
          <w:sz w:val="32"/>
          <w:szCs w:val="32"/>
          <w:lang w:eastAsia="zh-CN"/>
        </w:rPr>
        <w:t>税务</w:t>
      </w:r>
      <w:r>
        <w:rPr>
          <w:rFonts w:hint="eastAsia" w:ascii="仿宋_GB2312" w:hAnsi="仿宋_GB2312" w:eastAsia="仿宋_GB2312" w:cs="仿宋_GB2312"/>
          <w:sz w:val="32"/>
          <w:szCs w:val="32"/>
        </w:rPr>
        <w:t>发票应套印“全国统一发票监制章”</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加盖单位“发票专用章”；行政事业收费、政府性基金收据套印“财政票据监制章”加盖单位“财务专用章”等合规印章。</w:t>
      </w:r>
    </w:p>
    <w:p>
      <w:pPr>
        <w:ind w:firstLine="57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sz w:val="32"/>
          <w:szCs w:val="32"/>
        </w:rPr>
        <w:t>2、</w:t>
      </w:r>
      <w:r>
        <w:rPr>
          <w:rFonts w:hint="eastAsia" w:ascii="仿宋_GB2312" w:hAnsi="仿宋_GB2312" w:eastAsia="仿宋_GB2312" w:cs="仿宋_GB2312"/>
          <w:kern w:val="0"/>
          <w:sz w:val="32"/>
          <w:szCs w:val="32"/>
          <w:shd w:val="clear" w:color="auto" w:fill="FFFFFF"/>
        </w:rPr>
        <w:t>如工作特殊需要向自然人购买物品（如实验用农产品、水产品等），按学校规定填制“购物单”，注明摘要、数量、单价、金额，并且要由售物人、经办人、验收人、经费负责人签字后，视同合法有效单据。</w:t>
      </w:r>
    </w:p>
    <w:p>
      <w:pPr>
        <w:widowControl/>
        <w:shd w:val="solid" w:color="FFFFFF" w:fill="auto"/>
        <w:adjustRightInd w:val="0"/>
        <w:snapToGrid w:val="0"/>
        <w:spacing w:line="560" w:lineRule="exact"/>
        <w:ind w:firstLine="3168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w:t>
      </w:r>
      <w:r>
        <w:rPr>
          <w:rFonts w:hint="eastAsia" w:ascii="仿宋_GB2312" w:hAnsi="仿宋_GB2312" w:eastAsia="仿宋_GB2312" w:cs="仿宋_GB2312"/>
          <w:kern w:val="0"/>
          <w:sz w:val="32"/>
          <w:szCs w:val="32"/>
          <w:shd w:val="clear" w:color="auto" w:fill="FFFFFF"/>
          <w:lang w:eastAsia="zh-CN"/>
        </w:rPr>
        <w:t>除电脑等办公设备外，</w:t>
      </w:r>
      <w:r>
        <w:rPr>
          <w:rFonts w:hint="eastAsia" w:ascii="仿宋_GB2312" w:hAnsi="仿宋_GB2312" w:eastAsia="仿宋_GB2312" w:cs="仿宋_GB2312"/>
          <w:sz w:val="32"/>
          <w:szCs w:val="32"/>
        </w:rPr>
        <w:t>购买</w:t>
      </w:r>
      <w:r>
        <w:rPr>
          <w:rFonts w:hint="eastAsia" w:ascii="仿宋_GB2312" w:hAnsi="仿宋_GB2312" w:eastAsia="仿宋_GB2312" w:cs="仿宋_GB2312"/>
          <w:sz w:val="32"/>
          <w:szCs w:val="32"/>
          <w:lang w:eastAsia="zh-CN"/>
        </w:rPr>
        <w:t>其他</w:t>
      </w:r>
      <w:r>
        <w:rPr>
          <w:rFonts w:hint="eastAsia" w:ascii="仿宋_GB2312" w:hAnsi="仿宋_GB2312" w:eastAsia="仿宋_GB2312" w:cs="仿宋_GB2312"/>
          <w:sz w:val="32"/>
          <w:szCs w:val="32"/>
        </w:rPr>
        <w:t>各种教</w:t>
      </w:r>
      <w:r>
        <w:rPr>
          <w:rFonts w:hint="eastAsia" w:ascii="仿宋_GB2312" w:hAnsi="仿宋_GB2312" w:eastAsia="仿宋_GB2312" w:cs="仿宋_GB2312"/>
          <w:kern w:val="0"/>
          <w:sz w:val="32"/>
          <w:szCs w:val="32"/>
          <w:shd w:val="clear" w:color="auto" w:fill="FFFFFF"/>
        </w:rPr>
        <w:t>学、科研设备，须凭增值税专用发票办理报销手续。</w:t>
      </w:r>
    </w:p>
    <w:p>
      <w:pPr>
        <w:widowControl/>
        <w:shd w:val="solid" w:color="FFFFFF" w:fill="auto"/>
        <w:adjustRightInd w:val="0"/>
        <w:snapToGrid w:val="0"/>
        <w:spacing w:line="560" w:lineRule="exact"/>
        <w:ind w:firstLine="3168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sz w:val="32"/>
          <w:szCs w:val="32"/>
        </w:rPr>
        <w:t>4、</w:t>
      </w:r>
      <w:r>
        <w:rPr>
          <w:rFonts w:hint="eastAsia" w:ascii="仿宋_GB2312" w:hAnsi="仿宋_GB2312" w:eastAsia="仿宋_GB2312" w:cs="仿宋_GB2312"/>
          <w:kern w:val="0"/>
          <w:sz w:val="32"/>
          <w:szCs w:val="32"/>
          <w:shd w:val="clear" w:color="auto" w:fill="FFFFFF"/>
        </w:rPr>
        <w:t>报销国外票据时，需要对票据及所附外文材料的重点内容进行简要翻译并由国交处折算为人民币后办理报销手续。</w:t>
      </w:r>
    </w:p>
    <w:p>
      <w:pPr>
        <w:widowControl/>
        <w:shd w:val="solid" w:color="FFFFFF" w:fill="auto"/>
        <w:adjustRightInd w:val="0"/>
        <w:snapToGrid w:val="0"/>
        <w:spacing w:line="560" w:lineRule="exact"/>
        <w:ind w:firstLine="3168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5、凡在校内办理的经济业务，原则上应实行校内转账。需要划转经费的，可填写校内“转账单”，由经费支出部门、单位负责人签字后，办理转账业务。</w:t>
      </w:r>
    </w:p>
    <w:p>
      <w:pPr>
        <w:widowControl/>
        <w:shd w:val="solid" w:color="FFFFFF" w:fill="auto"/>
        <w:adjustRightInd w:val="0"/>
        <w:snapToGrid w:val="0"/>
        <w:spacing w:line="560" w:lineRule="exact"/>
        <w:ind w:firstLine="3168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6、</w:t>
      </w:r>
      <w:r>
        <w:rPr>
          <w:rFonts w:hint="eastAsia" w:ascii="仿宋_GB2312" w:hAnsi="仿宋_GB2312" w:eastAsia="仿宋_GB2312" w:cs="仿宋_GB2312"/>
          <w:color w:val="auto"/>
          <w:sz w:val="32"/>
          <w:szCs w:val="32"/>
        </w:rPr>
        <w:t>除个人通讯费、个人交通费发票外，报销的发票客户名称应为“山东理工大学”。</w:t>
      </w:r>
    </w:p>
    <w:p>
      <w:pPr>
        <w:ind w:firstLine="3168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7、</w:t>
      </w:r>
      <w:r>
        <w:rPr>
          <w:rFonts w:hint="eastAsia" w:ascii="仿宋_GB2312" w:hAnsi="仿宋_GB2312" w:eastAsia="仿宋_GB2312" w:cs="仿宋_GB2312"/>
          <w:color w:val="auto"/>
          <w:sz w:val="32"/>
          <w:szCs w:val="32"/>
        </w:rPr>
        <w:t>票据丢失，</w:t>
      </w:r>
      <w:r>
        <w:rPr>
          <w:rFonts w:hint="eastAsia" w:ascii="仿宋_GB2312" w:hAnsi="仿宋_GB2312" w:eastAsia="仿宋_GB2312" w:cs="仿宋_GB2312"/>
          <w:color w:val="auto"/>
          <w:kern w:val="0"/>
          <w:sz w:val="32"/>
          <w:szCs w:val="32"/>
          <w:shd w:val="clear" w:color="auto" w:fill="FFFFFF"/>
        </w:rPr>
        <w:t>应复印原始凭证存根并由原签发单位加盖财务专用章，由经办人签字、经费负责人审批后代作原始凭证。如果确实无法取得证明的车船票、飞机票、住宿费等凭证，应填写“特殊情况结算审批单”，由当事人写明详细情况，经审批后方可代作原始凭证。</w:t>
      </w:r>
    </w:p>
    <w:p>
      <w:pPr>
        <w:ind w:firstLine="3168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8、发票报销时限：当年发票原则上在当年报销，当年确实无法报销的必须在次年3月31日前报销。</w:t>
      </w:r>
    </w:p>
    <w:p>
      <w:pPr>
        <w:ind w:firstLine="31680" w:firstLineChars="200"/>
        <w:jc w:val="left"/>
        <w:rPr>
          <w:rFonts w:ascii="楷体_GB2312" w:hAnsi="??_GB2312" w:eastAsia="楷体_GB2312" w:cs="Times New Roman"/>
          <w:b/>
          <w:bCs/>
          <w:color w:val="auto"/>
          <w:sz w:val="28"/>
          <w:szCs w:val="28"/>
        </w:rPr>
      </w:pPr>
      <w:r>
        <w:rPr>
          <w:rFonts w:hint="eastAsia" w:ascii="楷体_GB2312" w:hAnsi="宋体" w:eastAsia="楷体_GB2312" w:cs="楷体_GB2312"/>
          <w:b/>
          <w:bCs/>
          <w:color w:val="auto"/>
          <w:sz w:val="28"/>
          <w:szCs w:val="28"/>
        </w:rPr>
        <w:t>特别提示</w:t>
      </w:r>
    </w:p>
    <w:p>
      <w:pPr>
        <w:ind w:firstLine="31680" w:firstLineChars="200"/>
        <w:rPr>
          <w:rFonts w:ascii="楷体_GB2312" w:hAnsi="??_GB2312" w:eastAsia="楷体_GB2312" w:cs="Times New Roman"/>
          <w:b/>
          <w:bCs/>
          <w:color w:val="auto"/>
          <w:sz w:val="28"/>
          <w:szCs w:val="28"/>
        </w:rPr>
      </w:pPr>
      <w:r>
        <w:rPr>
          <w:rFonts w:ascii="楷体_GB2312" w:hAnsi="??_GB2312" w:eastAsia="楷体_GB2312" w:cs="楷体_GB2312"/>
          <w:b/>
          <w:bCs/>
          <w:color w:val="auto"/>
          <w:sz w:val="28"/>
          <w:szCs w:val="28"/>
        </w:rPr>
        <w:t>1</w:t>
      </w:r>
      <w:r>
        <w:rPr>
          <w:rFonts w:hint="eastAsia" w:ascii="楷体_GB2312" w:hAnsi="宋体" w:eastAsia="楷体_GB2312" w:cs="楷体_GB2312"/>
          <w:b/>
          <w:bCs/>
          <w:color w:val="auto"/>
          <w:sz w:val="28"/>
          <w:szCs w:val="28"/>
        </w:rPr>
        <w:t>、用于个人娱乐、消费的发票不得报销，如康体、娱乐、健身中心发票，如服装、少儿教育、家电、车辆维修费、保险费、</w:t>
      </w:r>
      <w:r>
        <w:rPr>
          <w:rFonts w:ascii="楷体_GB2312" w:hAnsi="??_GB2312" w:eastAsia="楷体_GB2312" w:cs="楷体_GB2312"/>
          <w:b/>
          <w:bCs/>
          <w:color w:val="auto"/>
          <w:sz w:val="28"/>
          <w:szCs w:val="28"/>
        </w:rPr>
        <w:t>ETC</w:t>
      </w:r>
      <w:r>
        <w:rPr>
          <w:rFonts w:hint="eastAsia" w:ascii="楷体_GB2312" w:hAnsi="宋体" w:eastAsia="楷体_GB2312" w:cs="楷体_GB2312"/>
          <w:b/>
          <w:bCs/>
          <w:color w:val="auto"/>
          <w:sz w:val="28"/>
          <w:szCs w:val="28"/>
        </w:rPr>
        <w:t>、车辆年检费等个人消费用品的票据。</w:t>
      </w:r>
    </w:p>
    <w:p>
      <w:pPr>
        <w:ind w:firstLine="31680" w:firstLineChars="200"/>
        <w:rPr>
          <w:rFonts w:ascii="楷体_GB2312" w:hAnsi="??_GB2312" w:eastAsia="楷体_GB2312" w:cs="Times New Roman"/>
          <w:b/>
          <w:bCs/>
          <w:color w:val="auto"/>
          <w:sz w:val="28"/>
          <w:szCs w:val="28"/>
        </w:rPr>
      </w:pPr>
      <w:r>
        <w:rPr>
          <w:rFonts w:ascii="楷体_GB2312" w:hAnsi="??_GB2312" w:eastAsia="楷体_GB2312" w:cs="楷体_GB2312"/>
          <w:b/>
          <w:bCs/>
          <w:color w:val="auto"/>
          <w:sz w:val="28"/>
          <w:szCs w:val="28"/>
        </w:rPr>
        <w:t>2</w:t>
      </w:r>
      <w:r>
        <w:rPr>
          <w:rFonts w:hint="eastAsia" w:ascii="楷体_GB2312" w:hAnsi="宋体" w:eastAsia="楷体_GB2312" w:cs="楷体_GB2312"/>
          <w:b/>
          <w:bCs/>
          <w:color w:val="auto"/>
          <w:sz w:val="28"/>
          <w:szCs w:val="28"/>
        </w:rPr>
        <w:t>、发票开具内容与经营范围不符的发票不得报销。</w:t>
      </w:r>
    </w:p>
    <w:p>
      <w:pPr>
        <w:ind w:firstLine="31680" w:firstLineChars="200"/>
        <w:rPr>
          <w:rFonts w:ascii="楷体_GB2312" w:hAnsi="??_GB2312" w:eastAsia="楷体_GB2312" w:cs="Times New Roman"/>
          <w:b/>
          <w:bCs/>
          <w:color w:val="auto"/>
          <w:sz w:val="28"/>
          <w:szCs w:val="28"/>
        </w:rPr>
      </w:pPr>
      <w:r>
        <w:rPr>
          <w:rFonts w:ascii="楷体_GB2312" w:hAnsi="??_GB2312" w:eastAsia="楷体_GB2312" w:cs="楷体_GB2312"/>
          <w:b/>
          <w:bCs/>
          <w:color w:val="auto"/>
          <w:sz w:val="28"/>
          <w:szCs w:val="28"/>
        </w:rPr>
        <w:t>3</w:t>
      </w:r>
      <w:r>
        <w:rPr>
          <w:rFonts w:hint="eastAsia" w:ascii="楷体_GB2312" w:hAnsi="宋体" w:eastAsia="楷体_GB2312" w:cs="楷体_GB2312"/>
          <w:b/>
          <w:bCs/>
          <w:color w:val="auto"/>
          <w:sz w:val="28"/>
          <w:szCs w:val="28"/>
        </w:rPr>
        <w:t>、付款方式为</w:t>
      </w:r>
      <w:r>
        <w:rPr>
          <w:rFonts w:hint="eastAsia" w:ascii="楷体_GB2312" w:hAnsi="??_GB2312" w:eastAsia="楷体_GB2312" w:cs="楷体_GB2312"/>
          <w:b/>
          <w:bCs/>
          <w:color w:val="auto"/>
          <w:sz w:val="28"/>
          <w:szCs w:val="28"/>
        </w:rPr>
        <w:t>“</w:t>
      </w:r>
      <w:r>
        <w:rPr>
          <w:rFonts w:hint="eastAsia" w:ascii="楷体_GB2312" w:hAnsi="宋体" w:eastAsia="楷体_GB2312" w:cs="楷体_GB2312"/>
          <w:b/>
          <w:bCs/>
          <w:color w:val="auto"/>
          <w:sz w:val="28"/>
          <w:szCs w:val="28"/>
        </w:rPr>
        <w:t>一卡通</w:t>
      </w:r>
      <w:r>
        <w:rPr>
          <w:rFonts w:hint="eastAsia" w:ascii="楷体_GB2312" w:hAnsi="??_GB2312" w:eastAsia="楷体_GB2312" w:cs="楷体_GB2312"/>
          <w:b/>
          <w:bCs/>
          <w:color w:val="auto"/>
          <w:sz w:val="28"/>
          <w:szCs w:val="28"/>
        </w:rPr>
        <w:t>”</w:t>
      </w:r>
      <w:r>
        <w:rPr>
          <w:rFonts w:hint="eastAsia" w:ascii="楷体_GB2312" w:hAnsi="宋体" w:eastAsia="楷体_GB2312" w:cs="楷体_GB2312"/>
          <w:b/>
          <w:bCs/>
          <w:color w:val="auto"/>
          <w:sz w:val="28"/>
          <w:szCs w:val="28"/>
        </w:rPr>
        <w:t>、</w:t>
      </w:r>
      <w:r>
        <w:rPr>
          <w:rFonts w:hint="eastAsia" w:ascii="楷体_GB2312" w:hAnsi="??_GB2312" w:eastAsia="楷体_GB2312" w:cs="楷体_GB2312"/>
          <w:b/>
          <w:bCs/>
          <w:color w:val="auto"/>
          <w:sz w:val="28"/>
          <w:szCs w:val="28"/>
        </w:rPr>
        <w:t>“</w:t>
      </w:r>
      <w:r>
        <w:rPr>
          <w:rFonts w:hint="eastAsia" w:ascii="楷体_GB2312" w:hAnsi="宋体" w:eastAsia="楷体_GB2312" w:cs="楷体_GB2312"/>
          <w:b/>
          <w:bCs/>
          <w:color w:val="auto"/>
          <w:sz w:val="28"/>
          <w:szCs w:val="28"/>
        </w:rPr>
        <w:t>面值卡</w:t>
      </w:r>
      <w:r>
        <w:rPr>
          <w:rFonts w:hint="eastAsia" w:ascii="楷体_GB2312" w:hAnsi="??_GB2312" w:eastAsia="楷体_GB2312" w:cs="楷体_GB2312"/>
          <w:b/>
          <w:bCs/>
          <w:color w:val="auto"/>
          <w:sz w:val="28"/>
          <w:szCs w:val="28"/>
        </w:rPr>
        <w:t>”</w:t>
      </w:r>
      <w:r>
        <w:rPr>
          <w:rFonts w:hint="eastAsia" w:ascii="楷体_GB2312" w:hAnsi="宋体" w:eastAsia="楷体_GB2312" w:cs="楷体_GB2312"/>
          <w:b/>
          <w:bCs/>
          <w:color w:val="auto"/>
          <w:sz w:val="28"/>
          <w:szCs w:val="28"/>
        </w:rPr>
        <w:t>、</w:t>
      </w:r>
      <w:r>
        <w:rPr>
          <w:rFonts w:hint="eastAsia" w:ascii="楷体_GB2312" w:hAnsi="??_GB2312" w:eastAsia="楷体_GB2312" w:cs="楷体_GB2312"/>
          <w:b/>
          <w:bCs/>
          <w:color w:val="auto"/>
          <w:sz w:val="28"/>
          <w:szCs w:val="28"/>
        </w:rPr>
        <w:t>“</w:t>
      </w:r>
      <w:r>
        <w:rPr>
          <w:rFonts w:hint="eastAsia" w:ascii="楷体_GB2312" w:hAnsi="宋体" w:eastAsia="楷体_GB2312" w:cs="楷体_GB2312"/>
          <w:b/>
          <w:bCs/>
          <w:color w:val="auto"/>
          <w:sz w:val="28"/>
          <w:szCs w:val="28"/>
        </w:rPr>
        <w:t>贵宾卡</w:t>
      </w:r>
      <w:r>
        <w:rPr>
          <w:rFonts w:hint="eastAsia" w:ascii="楷体_GB2312" w:hAnsi="??_GB2312" w:eastAsia="楷体_GB2312" w:cs="楷体_GB2312"/>
          <w:b/>
          <w:bCs/>
          <w:color w:val="auto"/>
          <w:sz w:val="28"/>
          <w:szCs w:val="28"/>
        </w:rPr>
        <w:t>”</w:t>
      </w:r>
      <w:r>
        <w:rPr>
          <w:rFonts w:hint="eastAsia" w:ascii="楷体_GB2312" w:hAnsi="宋体" w:eastAsia="楷体_GB2312" w:cs="楷体_GB2312"/>
          <w:b/>
          <w:bCs/>
          <w:color w:val="auto"/>
          <w:sz w:val="28"/>
          <w:szCs w:val="28"/>
        </w:rPr>
        <w:t>、</w:t>
      </w:r>
      <w:r>
        <w:rPr>
          <w:rFonts w:hint="eastAsia" w:ascii="楷体_GB2312" w:hAnsi="??_GB2312" w:eastAsia="楷体_GB2312" w:cs="楷体_GB2312"/>
          <w:b/>
          <w:bCs/>
          <w:color w:val="auto"/>
          <w:sz w:val="28"/>
          <w:szCs w:val="28"/>
        </w:rPr>
        <w:t>“</w:t>
      </w:r>
      <w:r>
        <w:rPr>
          <w:rFonts w:hint="eastAsia" w:ascii="楷体_GB2312" w:hAnsi="宋体" w:eastAsia="楷体_GB2312" w:cs="楷体_GB2312"/>
          <w:b/>
          <w:bCs/>
          <w:color w:val="auto"/>
          <w:sz w:val="28"/>
          <w:szCs w:val="28"/>
        </w:rPr>
        <w:t>优惠卡</w:t>
      </w:r>
      <w:r>
        <w:rPr>
          <w:rFonts w:hint="eastAsia" w:ascii="楷体_GB2312" w:hAnsi="??_GB2312" w:eastAsia="楷体_GB2312" w:cs="楷体_GB2312"/>
          <w:b/>
          <w:bCs/>
          <w:color w:val="auto"/>
          <w:sz w:val="28"/>
          <w:szCs w:val="28"/>
        </w:rPr>
        <w:t>”</w:t>
      </w:r>
      <w:r>
        <w:rPr>
          <w:rFonts w:hint="eastAsia" w:ascii="楷体_GB2312" w:hAnsi="宋体" w:eastAsia="楷体_GB2312" w:cs="楷体_GB2312"/>
          <w:b/>
          <w:bCs/>
          <w:color w:val="auto"/>
          <w:sz w:val="28"/>
          <w:szCs w:val="28"/>
        </w:rPr>
        <w:t>、</w:t>
      </w:r>
      <w:r>
        <w:rPr>
          <w:rFonts w:hint="eastAsia" w:ascii="楷体_GB2312" w:hAnsi="??_GB2312" w:eastAsia="楷体_GB2312" w:cs="楷体_GB2312"/>
          <w:b/>
          <w:bCs/>
          <w:color w:val="auto"/>
          <w:sz w:val="28"/>
          <w:szCs w:val="28"/>
        </w:rPr>
        <w:t>“</w:t>
      </w:r>
      <w:r>
        <w:rPr>
          <w:rFonts w:hint="eastAsia" w:ascii="楷体_GB2312" w:hAnsi="宋体" w:eastAsia="楷体_GB2312" w:cs="楷体_GB2312"/>
          <w:b/>
          <w:bCs/>
          <w:color w:val="auto"/>
          <w:sz w:val="28"/>
          <w:szCs w:val="28"/>
        </w:rPr>
        <w:t>代信誉卡</w:t>
      </w:r>
      <w:r>
        <w:rPr>
          <w:rFonts w:hint="eastAsia" w:ascii="楷体_GB2312" w:hAnsi="??_GB2312" w:eastAsia="楷体_GB2312" w:cs="楷体_GB2312"/>
          <w:b/>
          <w:bCs/>
          <w:color w:val="auto"/>
          <w:sz w:val="28"/>
          <w:szCs w:val="28"/>
        </w:rPr>
        <w:t>”</w:t>
      </w:r>
      <w:r>
        <w:rPr>
          <w:rFonts w:hint="eastAsia" w:ascii="楷体_GB2312" w:hAnsi="宋体" w:eastAsia="楷体_GB2312" w:cs="楷体_GB2312"/>
          <w:b/>
          <w:bCs/>
          <w:color w:val="auto"/>
          <w:sz w:val="28"/>
          <w:szCs w:val="28"/>
        </w:rPr>
        <w:t>的发票不予报销。</w:t>
      </w:r>
    </w:p>
    <w:p>
      <w:pPr>
        <w:pStyle w:val="9"/>
        <w:ind w:firstLine="31680" w:firstLineChars="200"/>
        <w:rPr>
          <w:rFonts w:ascii="楷体_GB2312" w:hAnsi="??_GB2312" w:eastAsia="楷体_GB2312" w:cs="Times New Roman"/>
          <w:b/>
          <w:bCs/>
          <w:color w:val="auto"/>
          <w:sz w:val="28"/>
          <w:szCs w:val="28"/>
        </w:rPr>
      </w:pPr>
      <w:r>
        <w:rPr>
          <w:rFonts w:ascii="楷体_GB2312" w:hAnsi="??_GB2312" w:eastAsia="楷体_GB2312" w:cs="楷体_GB2312"/>
          <w:b/>
          <w:bCs/>
          <w:color w:val="auto"/>
          <w:sz w:val="28"/>
          <w:szCs w:val="28"/>
        </w:rPr>
        <w:t>4</w:t>
      </w:r>
      <w:r>
        <w:rPr>
          <w:rFonts w:hint="eastAsia" w:ascii="楷体_GB2312" w:hAnsi="宋体" w:eastAsia="楷体_GB2312" w:cs="楷体_GB2312"/>
          <w:b/>
          <w:bCs/>
          <w:color w:val="auto"/>
          <w:sz w:val="28"/>
          <w:szCs w:val="28"/>
        </w:rPr>
        <w:t>、同一天同一地点采购同类物品开具若干发票的，无论是否连号均视为同一张发票管理；同一地点采购同类物品开具连号发票的，无论是否同一天均视同一张发票管理。</w:t>
      </w:r>
    </w:p>
    <w:p>
      <w:pPr>
        <w:ind w:firstLine="570"/>
        <w:jc w:val="left"/>
        <w:rPr>
          <w:rFonts w:hint="eastAsia" w:ascii="宋体" w:hAnsi="宋体" w:cs="宋体"/>
          <w:b/>
          <w:bCs/>
          <w:sz w:val="32"/>
          <w:szCs w:val="32"/>
        </w:rPr>
      </w:pPr>
      <w:r>
        <w:rPr>
          <w:rFonts w:hint="eastAsia" w:ascii="宋体" w:hAnsi="宋体" w:cs="宋体"/>
          <w:b/>
          <w:bCs/>
          <w:sz w:val="32"/>
          <w:szCs w:val="32"/>
        </w:rPr>
        <w:t>二、</w:t>
      </w:r>
      <w:r>
        <w:rPr>
          <w:rFonts w:hint="eastAsia" w:ascii="宋体" w:hAnsi="宋体" w:cs="宋体"/>
          <w:b/>
          <w:bCs/>
          <w:sz w:val="32"/>
          <w:szCs w:val="32"/>
          <w:lang w:eastAsia="zh-CN"/>
        </w:rPr>
        <w:t>收费</w:t>
      </w:r>
      <w:r>
        <w:rPr>
          <w:rFonts w:hint="eastAsia" w:ascii="宋体" w:hAnsi="宋体" w:cs="宋体"/>
          <w:b/>
          <w:bCs/>
          <w:sz w:val="32"/>
          <w:szCs w:val="32"/>
        </w:rPr>
        <w:t>票据</w:t>
      </w:r>
    </w:p>
    <w:p>
      <w:pPr>
        <w:ind w:firstLine="31680" w:firstLineChars="200"/>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1、山东省</w:t>
      </w:r>
      <w:r>
        <w:rPr>
          <w:rFonts w:hint="eastAsia" w:ascii="仿宋" w:hAnsi="仿宋" w:eastAsia="仿宋" w:cs="仿宋"/>
          <w:b w:val="0"/>
          <w:bCs w:val="0"/>
          <w:sz w:val="30"/>
          <w:szCs w:val="30"/>
          <w:lang w:eastAsia="zh-CN"/>
        </w:rPr>
        <w:t>非税收入收款收据</w:t>
      </w:r>
    </w:p>
    <w:p>
      <w:pPr>
        <w:ind w:firstLine="31680" w:firstLineChars="200"/>
        <w:jc w:val="left"/>
        <w:rPr>
          <w:rFonts w:hint="eastAsia" w:ascii="仿宋" w:hAnsi="仿宋" w:eastAsia="仿宋" w:cs="仿宋"/>
          <w:sz w:val="30"/>
          <w:szCs w:val="30"/>
          <w:lang w:eastAsia="zh-CN"/>
        </w:rPr>
      </w:pPr>
      <w:r>
        <w:rPr>
          <w:rFonts w:hint="eastAsia" w:ascii="仿宋" w:hAnsi="仿宋" w:eastAsia="仿宋" w:cs="仿宋"/>
          <w:sz w:val="30"/>
          <w:szCs w:val="30"/>
          <w:lang w:eastAsia="zh-CN"/>
        </w:rPr>
        <w:t>适用学校学历教育的收费项目，</w:t>
      </w:r>
      <w:r>
        <w:rPr>
          <w:rFonts w:hint="eastAsia" w:ascii="仿宋" w:hAnsi="仿宋" w:eastAsia="仿宋" w:cs="仿宋"/>
          <w:sz w:val="30"/>
          <w:szCs w:val="30"/>
          <w:lang w:val="en-US" w:eastAsia="zh-CN"/>
        </w:rPr>
        <w:t>如</w:t>
      </w:r>
      <w:r>
        <w:rPr>
          <w:rFonts w:hint="eastAsia" w:ascii="仿宋" w:hAnsi="仿宋" w:eastAsia="仿宋" w:cs="仿宋"/>
          <w:sz w:val="30"/>
          <w:szCs w:val="30"/>
          <w:lang w:eastAsia="zh-CN"/>
        </w:rPr>
        <w:t>学费、住宿费</w:t>
      </w:r>
      <w:r>
        <w:rPr>
          <w:rFonts w:hint="eastAsia" w:ascii="仿宋" w:hAnsi="仿宋" w:eastAsia="仿宋" w:cs="仿宋"/>
          <w:sz w:val="30"/>
          <w:szCs w:val="30"/>
          <w:lang w:val="en-US" w:eastAsia="zh-CN"/>
        </w:rPr>
        <w:t>等</w:t>
      </w:r>
      <w:r>
        <w:rPr>
          <w:rFonts w:hint="eastAsia" w:ascii="仿宋" w:hAnsi="仿宋" w:eastAsia="仿宋" w:cs="仿宋"/>
          <w:sz w:val="30"/>
          <w:szCs w:val="30"/>
          <w:lang w:eastAsia="zh-CN"/>
        </w:rPr>
        <w:t>，适用普通全日制在校生、学校计划的成人教育学历学生、在职硕士、留学生。</w:t>
      </w:r>
    </w:p>
    <w:p>
      <w:pPr>
        <w:numPr>
          <w:ilvl w:val="0"/>
          <w:numId w:val="1"/>
        </w:numPr>
        <w:ind w:firstLine="31680" w:firstLineChars="200"/>
        <w:jc w:val="left"/>
        <w:rPr>
          <w:rFonts w:hint="eastAsia" w:ascii="仿宋" w:hAnsi="仿宋" w:eastAsia="仿宋" w:cs="仿宋"/>
          <w:sz w:val="30"/>
          <w:szCs w:val="30"/>
        </w:rPr>
      </w:pPr>
      <w:r>
        <w:rPr>
          <w:rFonts w:hint="eastAsia" w:ascii="仿宋" w:hAnsi="仿宋" w:eastAsia="仿宋" w:cs="仿宋"/>
          <w:sz w:val="30"/>
          <w:szCs w:val="30"/>
        </w:rPr>
        <w:t>山东省资金往来结算票据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执行山东省财政厅《山东省资金往来结算票据使用管理暂行办法》（鲁财综〔2010〕41号）。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val="en-US" w:eastAsia="zh-CN"/>
        </w:rPr>
        <w:t>适用范围：</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学校</w:t>
      </w:r>
      <w:r>
        <w:rPr>
          <w:rFonts w:hint="eastAsia" w:ascii="仿宋" w:hAnsi="仿宋" w:eastAsia="仿宋" w:cs="仿宋"/>
          <w:sz w:val="30"/>
          <w:szCs w:val="30"/>
          <w:lang w:eastAsia="zh-CN"/>
        </w:rPr>
        <w:t>暂收款项。由</w:t>
      </w:r>
      <w:r>
        <w:rPr>
          <w:rFonts w:hint="eastAsia" w:ascii="仿宋" w:hAnsi="仿宋" w:eastAsia="仿宋" w:cs="仿宋"/>
          <w:sz w:val="30"/>
          <w:szCs w:val="30"/>
          <w:lang w:val="en-US" w:eastAsia="zh-CN"/>
        </w:rPr>
        <w:t>学校</w:t>
      </w:r>
      <w:r>
        <w:rPr>
          <w:rFonts w:hint="eastAsia" w:ascii="仿宋" w:hAnsi="仿宋" w:eastAsia="仿宋" w:cs="仿宋"/>
          <w:sz w:val="30"/>
          <w:szCs w:val="30"/>
          <w:lang w:eastAsia="zh-CN"/>
        </w:rPr>
        <w:t>暂时收取，在经济活动结束后需退还原付款单位或个人，不构成本单位收入的款项，如押金、定金、保证金及其他暂时收取的各种款项等。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学校</w:t>
      </w:r>
      <w:r>
        <w:rPr>
          <w:rFonts w:hint="eastAsia" w:ascii="仿宋" w:hAnsi="仿宋" w:eastAsia="仿宋" w:cs="仿宋"/>
          <w:sz w:val="30"/>
          <w:szCs w:val="30"/>
          <w:lang w:eastAsia="zh-CN"/>
        </w:rPr>
        <w:t>代收款项。由</w:t>
      </w:r>
      <w:r>
        <w:rPr>
          <w:rFonts w:hint="eastAsia" w:ascii="仿宋" w:hAnsi="仿宋" w:eastAsia="仿宋" w:cs="仿宋"/>
          <w:sz w:val="30"/>
          <w:szCs w:val="30"/>
          <w:lang w:val="en-US" w:eastAsia="zh-CN"/>
        </w:rPr>
        <w:t>学校</w:t>
      </w:r>
      <w:r>
        <w:rPr>
          <w:rFonts w:hint="eastAsia" w:ascii="仿宋" w:hAnsi="仿宋" w:eastAsia="仿宋" w:cs="仿宋"/>
          <w:sz w:val="30"/>
          <w:szCs w:val="30"/>
          <w:lang w:eastAsia="zh-CN"/>
        </w:rPr>
        <w:t>代为收取，在经济活动结束后需付给其他收款单位或个人，不构成本单位收入的款项，如代收教材费、体检费、水电费、供暖费、电话费等。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学校</w:t>
      </w:r>
      <w:r>
        <w:rPr>
          <w:rFonts w:hint="eastAsia" w:ascii="仿宋" w:hAnsi="仿宋" w:eastAsia="仿宋" w:cs="仿宋"/>
          <w:sz w:val="30"/>
          <w:szCs w:val="30"/>
          <w:lang w:eastAsia="zh-CN"/>
        </w:rPr>
        <w:t>内部各部门之间、</w:t>
      </w:r>
      <w:r>
        <w:rPr>
          <w:rFonts w:hint="eastAsia" w:ascii="仿宋" w:hAnsi="仿宋" w:eastAsia="仿宋" w:cs="仿宋"/>
          <w:sz w:val="30"/>
          <w:szCs w:val="30"/>
          <w:lang w:val="en-US" w:eastAsia="zh-CN"/>
        </w:rPr>
        <w:t>学校</w:t>
      </w:r>
      <w:r>
        <w:rPr>
          <w:rFonts w:hint="eastAsia" w:ascii="仿宋" w:hAnsi="仿宋" w:eastAsia="仿宋" w:cs="仿宋"/>
          <w:sz w:val="30"/>
          <w:szCs w:val="30"/>
          <w:lang w:eastAsia="zh-CN"/>
        </w:rPr>
        <w:t>与个人之间发生的其他资金往来且不构成本单位收入的款项。</w:t>
      </w:r>
    </w:p>
    <w:p>
      <w:pPr>
        <w:keepNext w:val="0"/>
        <w:keepLines w:val="0"/>
        <w:pageBreakBefore w:val="0"/>
        <w:widowControl w:val="0"/>
        <w:numPr>
          <w:ilvl w:val="0"/>
          <w:numId w:val="0"/>
        </w:numPr>
        <w:tabs>
          <w:tab w:val="left" w:pos="583"/>
        </w:tabs>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下列行为，不得使用资金往来结算票据：</w:t>
      </w:r>
    </w:p>
    <w:p>
      <w:pPr>
        <w:keepNext w:val="0"/>
        <w:keepLines w:val="0"/>
        <w:pageBreakBefore w:val="0"/>
        <w:widowControl w:val="0"/>
        <w:numPr>
          <w:ilvl w:val="0"/>
          <w:numId w:val="0"/>
        </w:numPr>
        <w:tabs>
          <w:tab w:val="left" w:pos="583"/>
        </w:tabs>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（1）行政事业单位按照自愿有偿的原则提供下列服务，其收费属于经营服务性收费，应当依法使用税务发票，不得使用资金往来结算票据。</w:t>
      </w:r>
    </w:p>
    <w:p>
      <w:pPr>
        <w:keepNext w:val="0"/>
        <w:keepLines w:val="0"/>
        <w:pageBreakBefore w:val="0"/>
        <w:widowControl w:val="0"/>
        <w:numPr>
          <w:ilvl w:val="0"/>
          <w:numId w:val="0"/>
        </w:numPr>
        <w:tabs>
          <w:tab w:val="left" w:pos="583"/>
        </w:tabs>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①</w:t>
      </w:r>
      <w:r>
        <w:rPr>
          <w:rFonts w:hint="eastAsia" w:ascii="仿宋" w:hAnsi="仿宋" w:eastAsia="仿宋" w:cs="仿宋"/>
          <w:sz w:val="30"/>
          <w:szCs w:val="30"/>
          <w:lang w:val="en-US" w:eastAsia="zh-CN"/>
        </w:rPr>
        <w:t>信息咨询、技术咨询、技术开发、技术成果转让和技术服务收费；</w:t>
      </w:r>
    </w:p>
    <w:p>
      <w:pPr>
        <w:keepNext w:val="0"/>
        <w:keepLines w:val="0"/>
        <w:pageBreakBefore w:val="0"/>
        <w:widowControl w:val="0"/>
        <w:numPr>
          <w:ilvl w:val="0"/>
          <w:numId w:val="0"/>
        </w:numPr>
        <w:tabs>
          <w:tab w:val="left" w:pos="583"/>
        </w:tabs>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②法律法规和国务院部门规章规定强制进行的培训业务以外，由有关单位和个人自愿参加培训、会议的收费；</w:t>
      </w:r>
    </w:p>
    <w:p>
      <w:pPr>
        <w:keepNext w:val="0"/>
        <w:keepLines w:val="0"/>
        <w:pageBreakBefore w:val="0"/>
        <w:widowControl w:val="0"/>
        <w:numPr>
          <w:ilvl w:val="0"/>
          <w:numId w:val="0"/>
        </w:numPr>
        <w:tabs>
          <w:tab w:val="left" w:pos="583"/>
        </w:tabs>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③组织短期出国培训，为来华工作的外国人员提供境内服务等收取的国际交流服务费；</w:t>
      </w:r>
    </w:p>
    <w:p>
      <w:pPr>
        <w:keepNext w:val="0"/>
        <w:keepLines w:val="0"/>
        <w:pageBreakBefore w:val="0"/>
        <w:widowControl w:val="0"/>
        <w:numPr>
          <w:ilvl w:val="0"/>
          <w:numId w:val="0"/>
        </w:numPr>
        <w:tabs>
          <w:tab w:val="left" w:pos="583"/>
        </w:tabs>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④组织展览、展销会收取的展位费等服务费；</w:t>
      </w:r>
    </w:p>
    <w:p>
      <w:pPr>
        <w:keepNext w:val="0"/>
        <w:keepLines w:val="0"/>
        <w:pageBreakBefore w:val="0"/>
        <w:widowControl w:val="0"/>
        <w:numPr>
          <w:ilvl w:val="0"/>
          <w:numId w:val="0"/>
        </w:numPr>
        <w:tabs>
          <w:tab w:val="left" w:pos="583"/>
        </w:tabs>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⑤创办刊物、出版书籍并向订购单位和个人收取的费用；</w:t>
      </w:r>
    </w:p>
    <w:p>
      <w:pPr>
        <w:keepNext w:val="0"/>
        <w:keepLines w:val="0"/>
        <w:pageBreakBefore w:val="0"/>
        <w:widowControl w:val="0"/>
        <w:numPr>
          <w:ilvl w:val="0"/>
          <w:numId w:val="0"/>
        </w:numPr>
        <w:tabs>
          <w:tab w:val="left" w:pos="583"/>
        </w:tabs>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⑥开展演出活动，提供录音录像服务收取的费用；</w:t>
      </w:r>
    </w:p>
    <w:p>
      <w:pPr>
        <w:keepNext w:val="0"/>
        <w:keepLines w:val="0"/>
        <w:pageBreakBefore w:val="0"/>
        <w:widowControl w:val="0"/>
        <w:numPr>
          <w:ilvl w:val="0"/>
          <w:numId w:val="0"/>
        </w:numPr>
        <w:tabs>
          <w:tab w:val="left" w:pos="583"/>
        </w:tabs>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⑦复印费、打字费、资料费；</w:t>
      </w:r>
    </w:p>
    <w:p>
      <w:pPr>
        <w:keepNext w:val="0"/>
        <w:keepLines w:val="0"/>
        <w:pageBreakBefore w:val="0"/>
        <w:widowControl w:val="0"/>
        <w:numPr>
          <w:ilvl w:val="0"/>
          <w:numId w:val="0"/>
        </w:numPr>
        <w:tabs>
          <w:tab w:val="left" w:pos="583"/>
        </w:tabs>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⑧其他经营服务性收费行为。</w:t>
      </w:r>
    </w:p>
    <w:p>
      <w:pPr>
        <w:keepNext w:val="0"/>
        <w:keepLines w:val="0"/>
        <w:pageBreakBefore w:val="0"/>
        <w:widowControl w:val="0"/>
        <w:numPr>
          <w:ilvl w:val="0"/>
          <w:numId w:val="0"/>
        </w:numPr>
        <w:tabs>
          <w:tab w:val="left" w:pos="583"/>
        </w:tabs>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行政事业性收费、国有资源有偿使用收入、国有资产有偿使用收入、国有资本经营收益等政府非税收入，应当按照规定使用行政事业性收费票据、非税收入一般缴款书等相应的财政票据，不得使用资金往来结算票据。</w:t>
      </w:r>
    </w:p>
    <w:p>
      <w:pPr>
        <w:keepNext w:val="0"/>
        <w:keepLines w:val="0"/>
        <w:pageBreakBefore w:val="0"/>
        <w:widowControl w:val="0"/>
        <w:numPr>
          <w:ilvl w:val="0"/>
          <w:numId w:val="0"/>
        </w:numPr>
        <w:tabs>
          <w:tab w:val="left" w:pos="583"/>
        </w:tabs>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（3）行政事业单位受政府非税收入执收单位的委托，代行收取政府非税收入，应当按照有关委托手续，使用委托单位领购的有关政府非税收入票据代收相应的政府非税收入，不得使用资金往来结算票据。</w:t>
      </w:r>
    </w:p>
    <w:p>
      <w:pPr>
        <w:keepNext w:val="0"/>
        <w:keepLines w:val="0"/>
        <w:pageBreakBefore w:val="0"/>
        <w:widowControl w:val="0"/>
        <w:numPr>
          <w:ilvl w:val="0"/>
          <w:numId w:val="0"/>
        </w:numPr>
        <w:tabs>
          <w:tab w:val="left" w:pos="583"/>
        </w:tabs>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（4）公益性单位接收捐赠收入，使用捐赠票据，不得使用资金往来结算票据。</w:t>
      </w:r>
    </w:p>
    <w:p>
      <w:pPr>
        <w:keepNext w:val="0"/>
        <w:keepLines w:val="0"/>
        <w:pageBreakBefore w:val="0"/>
        <w:widowControl w:val="0"/>
        <w:numPr>
          <w:ilvl w:val="0"/>
          <w:numId w:val="0"/>
        </w:numPr>
        <w:tabs>
          <w:tab w:val="left" w:pos="583"/>
        </w:tabs>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（5）行政事业单位取得的拨入经费、财政补助收入、上级补助收入等形成本单位收入，不得使用资金往来结算票据。</w:t>
      </w:r>
    </w:p>
    <w:p>
      <w:pPr>
        <w:keepNext w:val="0"/>
        <w:keepLines w:val="0"/>
        <w:pageBreakBefore w:val="0"/>
        <w:widowControl w:val="0"/>
        <w:numPr>
          <w:ilvl w:val="0"/>
          <w:numId w:val="0"/>
        </w:numPr>
        <w:tabs>
          <w:tab w:val="left" w:pos="583"/>
        </w:tabs>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3、税务发票</w:t>
      </w:r>
    </w:p>
    <w:p>
      <w:pPr>
        <w:keepNext w:val="0"/>
        <w:keepLines w:val="0"/>
        <w:pageBreakBefore w:val="0"/>
        <w:widowControl w:val="0"/>
        <w:numPr>
          <w:ilvl w:val="0"/>
          <w:numId w:val="0"/>
        </w:numPr>
        <w:tabs>
          <w:tab w:val="left" w:pos="583"/>
        </w:tabs>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一是国税局开具的</w:t>
      </w:r>
      <w:r>
        <w:rPr>
          <w:rFonts w:hint="eastAsia" w:ascii="仿宋" w:hAnsi="仿宋" w:eastAsia="仿宋" w:cs="仿宋"/>
          <w:sz w:val="30"/>
          <w:szCs w:val="30"/>
          <w:lang w:eastAsia="zh-CN"/>
        </w:rPr>
        <w:t>增值税发票，</w:t>
      </w:r>
      <w:r>
        <w:rPr>
          <w:rFonts w:hint="eastAsia" w:ascii="仿宋" w:hAnsi="仿宋" w:eastAsia="仿宋" w:cs="仿宋"/>
          <w:sz w:val="30"/>
          <w:szCs w:val="30"/>
          <w:lang w:val="en-US" w:eastAsia="zh-CN"/>
        </w:rPr>
        <w:t>综合税率6.40%，适用横向课题等技术服务、咨询、会务费等项目。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二是地税局开具的营业税发票，综合税率5.65%，适用形成部门收入的培训、参赛费、注册费、出租出借收入、停车服务费等。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三是地税局开具的房产税发票，包含房产税、营业税及附加，综合税率17.65%，适用房屋、土地的出租。</w:t>
      </w:r>
    </w:p>
    <w:p>
      <w:pPr>
        <w:ind w:firstLine="31680" w:firstLineChars="200"/>
        <w:jc w:val="left"/>
        <w:rPr>
          <w:rFonts w:hint="eastAsia" w:ascii="仿宋" w:hAnsi="仿宋" w:eastAsia="仿宋" w:cs="仿宋"/>
          <w:sz w:val="30"/>
          <w:szCs w:val="30"/>
        </w:rPr>
      </w:pPr>
      <w:r>
        <w:rPr>
          <w:rFonts w:hint="eastAsia" w:ascii="仿宋" w:hAnsi="仿宋" w:eastAsia="仿宋" w:cs="仿宋"/>
          <w:sz w:val="30"/>
          <w:szCs w:val="30"/>
        </w:rPr>
        <w:t>4、资金到账证明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按照</w:t>
      </w:r>
      <w:r>
        <w:rPr>
          <w:rFonts w:hint="eastAsia" w:ascii="仿宋" w:hAnsi="仿宋" w:eastAsia="仿宋" w:cs="仿宋"/>
          <w:sz w:val="30"/>
          <w:szCs w:val="30"/>
          <w:lang w:eastAsia="zh-CN"/>
        </w:rPr>
        <w:t>财政部《关于行政事业单位资金往来结算票据使用管理有关问题的补充通知》（财综[2010]111号）</w:t>
      </w:r>
      <w:r>
        <w:rPr>
          <w:rFonts w:hint="eastAsia" w:ascii="仿宋" w:hAnsi="仿宋" w:eastAsia="仿宋" w:cs="仿宋"/>
          <w:sz w:val="30"/>
          <w:szCs w:val="30"/>
          <w:lang w:val="en-US" w:eastAsia="zh-CN"/>
        </w:rPr>
        <w:t>执行。</w:t>
      </w:r>
    </w:p>
    <w:p>
      <w:pPr>
        <w:numPr>
          <w:ilvl w:val="0"/>
          <w:numId w:val="2"/>
        </w:numPr>
        <w:ind w:firstLine="31680" w:firstLineChars="200"/>
        <w:jc w:val="left"/>
        <w:rPr>
          <w:rFonts w:hint="eastAsia" w:ascii="仿宋" w:hAnsi="仿宋" w:eastAsia="仿宋" w:cs="仿宋"/>
          <w:sz w:val="30"/>
          <w:szCs w:val="30"/>
          <w:shd w:val="clear" w:color="auto" w:fill="FEFEFE"/>
        </w:rPr>
      </w:pPr>
      <w:r>
        <w:rPr>
          <w:rFonts w:hint="eastAsia" w:ascii="仿宋" w:hAnsi="仿宋" w:eastAsia="仿宋" w:cs="仿宋"/>
          <w:sz w:val="30"/>
          <w:szCs w:val="30"/>
          <w:shd w:val="clear" w:color="auto" w:fill="FEFEFE"/>
        </w:rPr>
        <w:t>行政事业单位取得具有横向资金分配权部门（包括投资主管部门、科技主管部门、国家自然科学基金管理委员会、国家出版基金管理委员会等）拨付的基本建设投资、科研课题经费等，形成本单位收入的，可凭银行结算凭证入账；转拨下级单位或其他相关指定合作单位的，属于暂收代收性质，可使用行政事业单位资金往来结算票据。</w:t>
      </w:r>
    </w:p>
    <w:p>
      <w:pPr>
        <w:numPr>
          <w:ilvl w:val="0"/>
          <w:numId w:val="2"/>
        </w:numPr>
        <w:ind w:firstLine="31680" w:firstLineChars="200"/>
        <w:jc w:val="left"/>
        <w:rPr>
          <w:rFonts w:hint="eastAsia" w:ascii="仿宋" w:hAnsi="仿宋" w:eastAsia="仿宋" w:cs="仿宋"/>
          <w:sz w:val="30"/>
          <w:szCs w:val="30"/>
          <w:shd w:val="clear" w:color="auto" w:fill="FEFEFE"/>
          <w:lang w:eastAsia="zh-CN"/>
        </w:rPr>
      </w:pPr>
      <w:r>
        <w:rPr>
          <w:rFonts w:hint="eastAsia" w:ascii="仿宋" w:hAnsi="仿宋" w:eastAsia="仿宋" w:cs="仿宋"/>
          <w:sz w:val="30"/>
          <w:szCs w:val="30"/>
          <w:shd w:val="clear" w:color="auto" w:fill="FEFEFE"/>
        </w:rPr>
        <w:t>没有财务隶属关系事业单位等之间发生的往来资金，如科研院所之间、高校之间、科研院所与高校之间发生的科研课题经费等，涉及应税的资金，应使用税务发票；不涉及应税的资金，应凭银行结算凭证入账。</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 w:hAnsi="仿宋" w:eastAsia="仿宋" w:cs="仿宋"/>
          <w:sz w:val="30"/>
          <w:szCs w:val="30"/>
          <w:shd w:val="clear" w:color="auto" w:fill="FEFEFE"/>
          <w:lang w:val="en-US" w:eastAsia="zh-CN"/>
        </w:rPr>
      </w:pPr>
      <w:r>
        <w:rPr>
          <w:rFonts w:hint="eastAsia" w:ascii="仿宋" w:hAnsi="仿宋" w:eastAsia="仿宋" w:cs="仿宋"/>
          <w:sz w:val="30"/>
          <w:szCs w:val="30"/>
          <w:shd w:val="clear" w:color="auto" w:fill="FEFEFE"/>
          <w:lang w:val="en-US" w:eastAsia="zh-CN"/>
        </w:rPr>
        <w:t>山东省公益事业接受捐赠统一收据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 w:hAnsi="仿宋" w:eastAsia="仿宋" w:cs="仿宋"/>
          <w:sz w:val="30"/>
          <w:szCs w:val="30"/>
          <w:shd w:val="clear" w:color="auto" w:fill="FEFEFE"/>
          <w:lang w:val="en-US" w:eastAsia="zh-CN"/>
        </w:rPr>
      </w:pPr>
      <w:r>
        <w:rPr>
          <w:rFonts w:hint="eastAsia" w:ascii="仿宋" w:hAnsi="仿宋" w:eastAsia="仿宋" w:cs="仿宋"/>
          <w:sz w:val="30"/>
          <w:szCs w:val="30"/>
          <w:shd w:val="clear" w:color="auto" w:fill="FEFEFE"/>
          <w:lang w:val="en-US" w:eastAsia="zh-CN"/>
        </w:rPr>
        <w:t>社会各界向我校捐赠款项、实物由学校基金会统一管理，开具“山东省公益事业接受捐赠统一收据”，可作为企业税前扣除项目。基金会财务设在计划财务处后勤财务部。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50" w:lineRule="atLeast"/>
        <w:ind w:left="0" w:leftChars="0" w:right="0" w:rightChars="0" w:firstLine="600" w:firstLineChars="200"/>
        <w:jc w:val="left"/>
        <w:textAlignment w:val="auto"/>
        <w:outlineLvl w:val="9"/>
        <w:rPr>
          <w:rFonts w:hint="eastAsia" w:ascii="仿宋" w:hAnsi="仿宋" w:eastAsia="仿宋" w:cs="仿宋"/>
          <w:kern w:val="2"/>
          <w:sz w:val="30"/>
          <w:szCs w:val="30"/>
          <w:shd w:val="clear" w:color="auto" w:fill="FEFEFE"/>
          <w:lang w:val="en-US" w:eastAsia="zh-CN" w:bidi="ar-SA"/>
        </w:rPr>
      </w:pPr>
      <w:r>
        <w:rPr>
          <w:rFonts w:hint="default" w:ascii="仿宋" w:hAnsi="仿宋" w:eastAsia="仿宋" w:cs="仿宋"/>
          <w:kern w:val="2"/>
          <w:sz w:val="30"/>
          <w:szCs w:val="30"/>
          <w:shd w:val="clear" w:color="auto" w:fill="FEFEFE"/>
          <w:lang w:val="en-US" w:eastAsia="zh-CN" w:bidi="ar-SA"/>
        </w:rPr>
        <w:t>户名：山东理工大学教育发展基金会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50" w:lineRule="atLeast"/>
        <w:ind w:left="0" w:leftChars="0" w:right="0" w:rightChars="0" w:firstLine="600" w:firstLineChars="200"/>
        <w:jc w:val="left"/>
        <w:textAlignment w:val="auto"/>
        <w:outlineLvl w:val="9"/>
        <w:rPr>
          <w:rFonts w:hint="default" w:ascii="仿宋" w:hAnsi="仿宋" w:eastAsia="仿宋" w:cs="仿宋"/>
          <w:kern w:val="2"/>
          <w:sz w:val="30"/>
          <w:szCs w:val="30"/>
          <w:shd w:val="clear" w:color="auto" w:fill="FEFEFE"/>
          <w:lang w:val="en-US" w:eastAsia="zh-CN" w:bidi="ar-SA"/>
        </w:rPr>
      </w:pPr>
      <w:r>
        <w:rPr>
          <w:rFonts w:hint="default" w:ascii="仿宋" w:hAnsi="仿宋" w:eastAsia="仿宋" w:cs="仿宋"/>
          <w:kern w:val="2"/>
          <w:sz w:val="30"/>
          <w:szCs w:val="30"/>
          <w:shd w:val="clear" w:color="auto" w:fill="FEFEFE"/>
          <w:lang w:val="en-US" w:eastAsia="zh-CN" w:bidi="ar-SA"/>
        </w:rPr>
        <w:t>账号：15256401040000441</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50" w:lineRule="atLeast"/>
        <w:ind w:left="0" w:leftChars="0" w:right="0" w:rightChars="0" w:firstLine="600" w:firstLineChars="200"/>
        <w:jc w:val="left"/>
        <w:textAlignment w:val="auto"/>
        <w:outlineLvl w:val="9"/>
        <w:rPr>
          <w:rFonts w:hint="default" w:ascii="仿宋" w:hAnsi="仿宋" w:eastAsia="仿宋" w:cs="仿宋"/>
          <w:kern w:val="2"/>
          <w:sz w:val="30"/>
          <w:szCs w:val="30"/>
          <w:shd w:val="clear" w:color="auto" w:fill="FEFEFE"/>
          <w:lang w:val="en-US" w:eastAsia="zh-CN" w:bidi="ar-SA"/>
        </w:rPr>
      </w:pPr>
      <w:r>
        <w:rPr>
          <w:rFonts w:hint="default" w:ascii="仿宋" w:hAnsi="仿宋" w:eastAsia="仿宋" w:cs="仿宋"/>
          <w:kern w:val="2"/>
          <w:sz w:val="30"/>
          <w:szCs w:val="30"/>
          <w:shd w:val="clear" w:color="auto" w:fill="FEFEFE"/>
          <w:lang w:val="en-US" w:eastAsia="zh-CN" w:bidi="ar-SA"/>
        </w:rPr>
        <w:t>开户银行：山东省淄博市农行高新技术产业开发区支行</w:t>
      </w:r>
    </w:p>
    <w:p>
      <w:pPr>
        <w:ind w:firstLine="570"/>
        <w:jc w:val="left"/>
        <w:rPr>
          <w:rFonts w:hint="eastAsia" w:ascii="宋体" w:hAnsi="宋体" w:cs="宋体"/>
          <w:b/>
          <w:bCs/>
          <w:sz w:val="32"/>
          <w:szCs w:val="32"/>
        </w:rPr>
      </w:pPr>
      <w:r>
        <w:rPr>
          <w:rFonts w:hint="eastAsia" w:ascii="宋体" w:hAnsi="宋体" w:cs="宋体"/>
          <w:b/>
          <w:bCs/>
          <w:sz w:val="32"/>
          <w:szCs w:val="32"/>
        </w:rPr>
        <w:t>三、 报销手续</w:t>
      </w:r>
    </w:p>
    <w:p>
      <w:pPr>
        <w:widowControl/>
        <w:shd w:val="solid" w:color="FFFFFF" w:fill="auto"/>
        <w:adjustRightInd w:val="0"/>
        <w:snapToGrid w:val="0"/>
        <w:spacing w:line="560" w:lineRule="exact"/>
        <w:ind w:firstLine="31680" w:firstLineChars="200"/>
        <w:jc w:val="left"/>
        <w:rPr>
          <w:rFonts w:hint="eastAsia" w:ascii="宋体" w:hAnsi="宋体" w:eastAsia="宋体" w:cs="宋体"/>
          <w:b/>
          <w:bCs/>
          <w:sz w:val="30"/>
          <w:szCs w:val="30"/>
        </w:rPr>
      </w:pPr>
      <w:r>
        <w:rPr>
          <w:rFonts w:hint="eastAsia" w:ascii="宋体" w:hAnsi="宋体" w:eastAsia="宋体" w:cs="宋体"/>
          <w:b/>
          <w:bCs/>
          <w:kern w:val="0"/>
          <w:sz w:val="30"/>
          <w:szCs w:val="30"/>
          <w:shd w:val="clear" w:color="auto" w:fill="FFFFFF"/>
        </w:rPr>
        <w:t>1、借款手续</w:t>
      </w:r>
    </w:p>
    <w:p>
      <w:pPr>
        <w:widowControl/>
        <w:shd w:val="solid" w:color="FFFFFF" w:fill="auto"/>
        <w:adjustRightInd w:val="0"/>
        <w:snapToGrid w:val="0"/>
        <w:spacing w:line="560" w:lineRule="exact"/>
        <w:ind w:firstLine="3168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shd w:val="clear" w:color="auto" w:fill="FFFFFF"/>
        </w:rPr>
        <w:t>（1）借款人必须是我校正式职工。实行“前款不清，新款不借”制度。实行公务卡结算制度后，一般不再办理现金借款。借款期限一般不得超过一个月（师资培训费借款期限为一年），超过期限不还者，自下月起扣发工资归还借款。特殊情况，可填写延期归还借款申请，延期一般最长为一个月。</w:t>
      </w:r>
    </w:p>
    <w:p>
      <w:pPr>
        <w:widowControl/>
        <w:shd w:val="solid" w:color="FFFFFF" w:fill="auto"/>
        <w:adjustRightInd w:val="0"/>
        <w:snapToGrid w:val="0"/>
        <w:spacing w:line="560" w:lineRule="exact"/>
        <w:ind w:firstLine="640"/>
        <w:jc w:val="left"/>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shd w:val="clear" w:color="auto" w:fill="FFFFFF"/>
        </w:rPr>
        <w:t>（2）因公借用支票，支付金额、收款单位、用途必须填写完整准确，借款人应在借款单以及支票存根上签名。</w:t>
      </w:r>
    </w:p>
    <w:p>
      <w:pPr>
        <w:widowControl/>
        <w:shd w:val="solid" w:color="FFFFFF" w:fill="auto"/>
        <w:adjustRightInd w:val="0"/>
        <w:snapToGrid w:val="0"/>
        <w:spacing w:line="560" w:lineRule="exact"/>
        <w:ind w:firstLine="640"/>
        <w:jc w:val="left"/>
        <w:rPr>
          <w:rFonts w:hint="eastAsia"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（3）横向科研课题若协作单位要求先开</w:t>
      </w:r>
      <w:r>
        <w:rPr>
          <w:rFonts w:hint="eastAsia" w:ascii="仿宋_GB2312" w:hAnsi="仿宋_GB2312" w:eastAsia="仿宋_GB2312" w:cs="仿宋_GB2312"/>
          <w:color w:val="auto"/>
          <w:kern w:val="0"/>
          <w:sz w:val="30"/>
          <w:szCs w:val="30"/>
          <w:shd w:val="clear" w:color="auto" w:fill="FFFFFF"/>
        </w:rPr>
        <w:t>发票</w:t>
      </w:r>
      <w:r>
        <w:rPr>
          <w:rFonts w:hint="eastAsia" w:ascii="仿宋_GB2312" w:hAnsi="仿宋_GB2312" w:eastAsia="仿宋_GB2312" w:cs="仿宋_GB2312"/>
          <w:kern w:val="0"/>
          <w:sz w:val="30"/>
          <w:szCs w:val="30"/>
          <w:shd w:val="clear" w:color="auto" w:fill="FFFFFF"/>
        </w:rPr>
        <w:t>后付款，需填写“借用发票借据”，由所在部门、单位负责人签批，办理“票据”借用手续。课题到款后，由科学技术处或社会科学处填写“科研项目经费分配单”转入相应课题。</w:t>
      </w:r>
    </w:p>
    <w:p>
      <w:pPr>
        <w:widowControl/>
        <w:shd w:val="solid" w:color="FFFFFF" w:fill="auto"/>
        <w:adjustRightInd w:val="0"/>
        <w:snapToGrid w:val="0"/>
        <w:spacing w:line="560" w:lineRule="exact"/>
        <w:ind w:firstLine="640"/>
        <w:jc w:val="left"/>
        <w:rPr>
          <w:rFonts w:ascii="楷体_GB2312" w:hAnsi="??_GB2312" w:eastAsia="楷体_GB2312" w:cs="Times New Roman"/>
          <w:b/>
          <w:bCs/>
          <w:color w:val="auto"/>
          <w:kern w:val="0"/>
          <w:sz w:val="28"/>
          <w:szCs w:val="28"/>
          <w:shd w:val="clear" w:color="auto" w:fill="FFFFFF"/>
        </w:rPr>
      </w:pPr>
      <w:r>
        <w:rPr>
          <w:rFonts w:hint="eastAsia" w:ascii="楷体_GB2312" w:hAnsi="宋体" w:eastAsia="楷体_GB2312" w:cs="楷体_GB2312"/>
          <w:b/>
          <w:bCs/>
          <w:color w:val="auto"/>
          <w:kern w:val="0"/>
          <w:sz w:val="28"/>
          <w:szCs w:val="28"/>
          <w:shd w:val="clear" w:color="auto" w:fill="FFFFFF"/>
        </w:rPr>
        <w:t>特别提示</w:t>
      </w:r>
    </w:p>
    <w:p>
      <w:pPr>
        <w:widowControl/>
        <w:shd w:val="solid" w:color="FFFFFF" w:fill="auto"/>
        <w:adjustRightInd w:val="0"/>
        <w:snapToGrid w:val="0"/>
        <w:spacing w:line="560" w:lineRule="exact"/>
        <w:ind w:firstLine="31680" w:firstLineChars="200"/>
        <w:jc w:val="left"/>
        <w:rPr>
          <w:rFonts w:ascii="楷体_GB2312" w:hAnsi="??_GB2312" w:eastAsia="楷体_GB2312" w:cs="Times New Roman"/>
          <w:b/>
          <w:bCs/>
          <w:color w:val="auto"/>
          <w:kern w:val="0"/>
          <w:sz w:val="28"/>
          <w:szCs w:val="28"/>
          <w:shd w:val="clear" w:color="auto" w:fill="FFFFFF"/>
        </w:rPr>
      </w:pPr>
      <w:r>
        <w:rPr>
          <w:rFonts w:hint="eastAsia" w:ascii="楷体_GB2312" w:hAnsi="宋体" w:eastAsia="楷体_GB2312" w:cs="楷体_GB2312"/>
          <w:b/>
          <w:bCs/>
          <w:color w:val="auto"/>
          <w:kern w:val="0"/>
          <w:sz w:val="28"/>
          <w:szCs w:val="28"/>
          <w:shd w:val="clear" w:color="auto" w:fill="FFFFFF"/>
        </w:rPr>
        <w:t>（</w:t>
      </w:r>
      <w:r>
        <w:rPr>
          <w:rFonts w:ascii="楷体_GB2312" w:hAnsi="??_GB2312" w:eastAsia="楷体_GB2312" w:cs="楷体_GB2312"/>
          <w:b/>
          <w:bCs/>
          <w:color w:val="auto"/>
          <w:kern w:val="0"/>
          <w:sz w:val="28"/>
          <w:szCs w:val="28"/>
          <w:shd w:val="clear" w:color="auto" w:fill="FFFFFF"/>
        </w:rPr>
        <w:t>1</w:t>
      </w:r>
      <w:r>
        <w:rPr>
          <w:rFonts w:hint="eastAsia" w:ascii="楷体_GB2312" w:hAnsi="宋体" w:eastAsia="楷体_GB2312" w:cs="楷体_GB2312"/>
          <w:b/>
          <w:bCs/>
          <w:color w:val="auto"/>
          <w:kern w:val="0"/>
          <w:sz w:val="28"/>
          <w:szCs w:val="28"/>
          <w:shd w:val="clear" w:color="auto" w:fill="FFFFFF"/>
        </w:rPr>
        <w:t>）学生实习管理费借款按原办法执行，不按特殊事项审批。</w:t>
      </w:r>
    </w:p>
    <w:p>
      <w:pPr>
        <w:widowControl/>
        <w:shd w:val="solid" w:color="FFFFFF" w:fill="auto"/>
        <w:adjustRightInd w:val="0"/>
        <w:snapToGrid w:val="0"/>
        <w:spacing w:line="560" w:lineRule="exact"/>
        <w:ind w:firstLine="31680" w:firstLineChars="200"/>
        <w:jc w:val="left"/>
        <w:rPr>
          <w:rFonts w:ascii="楷体_GB2312" w:hAnsi="??_GB2312" w:eastAsia="楷体_GB2312" w:cs="Times New Roman"/>
          <w:b/>
          <w:bCs/>
          <w:color w:val="auto"/>
          <w:kern w:val="0"/>
          <w:sz w:val="28"/>
          <w:szCs w:val="28"/>
          <w:shd w:val="clear" w:color="auto" w:fill="FFFFFF"/>
        </w:rPr>
      </w:pPr>
      <w:r>
        <w:rPr>
          <w:rFonts w:hint="eastAsia" w:ascii="楷体_GB2312" w:hAnsi="宋体" w:eastAsia="楷体_GB2312" w:cs="楷体_GB2312"/>
          <w:b/>
          <w:bCs/>
          <w:color w:val="auto"/>
          <w:kern w:val="0"/>
          <w:sz w:val="28"/>
          <w:szCs w:val="28"/>
          <w:shd w:val="clear" w:color="auto" w:fill="FFFFFF"/>
        </w:rPr>
        <w:t>（</w:t>
      </w:r>
      <w:r>
        <w:rPr>
          <w:rFonts w:ascii="楷体_GB2312" w:hAnsi="??_GB2312" w:eastAsia="楷体_GB2312" w:cs="楷体_GB2312"/>
          <w:b/>
          <w:bCs/>
          <w:color w:val="auto"/>
          <w:kern w:val="0"/>
          <w:sz w:val="28"/>
          <w:szCs w:val="28"/>
          <w:shd w:val="clear" w:color="auto" w:fill="FFFFFF"/>
        </w:rPr>
        <w:t>2</w:t>
      </w:r>
      <w:r>
        <w:rPr>
          <w:rFonts w:hint="eastAsia" w:ascii="楷体_GB2312" w:hAnsi="宋体" w:eastAsia="楷体_GB2312" w:cs="楷体_GB2312"/>
          <w:b/>
          <w:bCs/>
          <w:color w:val="auto"/>
          <w:kern w:val="0"/>
          <w:sz w:val="28"/>
          <w:szCs w:val="28"/>
          <w:shd w:val="clear" w:color="auto" w:fill="FFFFFF"/>
        </w:rPr>
        <w:t>）出国访学</w:t>
      </w:r>
      <w:r>
        <w:rPr>
          <w:rFonts w:hint="eastAsia" w:ascii="楷体_GB2312" w:hAnsi="宋体" w:eastAsia="楷体_GB2312" w:cs="楷体_GB2312"/>
          <w:b/>
          <w:bCs/>
          <w:color w:val="auto"/>
          <w:kern w:val="0"/>
          <w:sz w:val="28"/>
          <w:szCs w:val="28"/>
          <w:shd w:val="clear" w:color="auto" w:fill="FFFFFF"/>
          <w:lang w:eastAsia="zh-CN"/>
        </w:rPr>
        <w:t>（核实审批单）、境外版面费换汇</w:t>
      </w:r>
      <w:r>
        <w:rPr>
          <w:rFonts w:hint="eastAsia" w:ascii="楷体_GB2312" w:hAnsi="宋体" w:eastAsia="楷体_GB2312" w:cs="楷体_GB2312"/>
          <w:b/>
          <w:bCs/>
          <w:color w:val="auto"/>
          <w:kern w:val="0"/>
          <w:sz w:val="28"/>
          <w:szCs w:val="28"/>
          <w:shd w:val="clear" w:color="auto" w:fill="FFFFFF"/>
        </w:rPr>
        <w:t>可办理现金借款</w:t>
      </w:r>
      <w:r>
        <w:rPr>
          <w:rFonts w:hint="eastAsia" w:ascii="楷体_GB2312" w:hAnsi="宋体" w:eastAsia="楷体_GB2312" w:cs="楷体_GB2312"/>
          <w:b/>
          <w:bCs/>
          <w:color w:val="auto"/>
          <w:kern w:val="0"/>
          <w:sz w:val="28"/>
          <w:szCs w:val="28"/>
          <w:shd w:val="clear" w:color="auto" w:fill="FFFFFF"/>
          <w:lang w:eastAsia="zh-CN"/>
        </w:rPr>
        <w:t>，</w:t>
      </w:r>
      <w:r>
        <w:rPr>
          <w:rFonts w:hint="eastAsia" w:ascii="楷体_GB2312" w:hAnsi="宋体" w:eastAsia="楷体_GB2312" w:cs="楷体_GB2312"/>
          <w:b/>
          <w:bCs/>
          <w:color w:val="auto"/>
          <w:kern w:val="0"/>
          <w:sz w:val="28"/>
          <w:szCs w:val="28"/>
          <w:shd w:val="clear" w:color="auto" w:fill="FFFFFF"/>
        </w:rPr>
        <w:t>不按特殊事项审批。</w:t>
      </w:r>
    </w:p>
    <w:p>
      <w:pPr>
        <w:widowControl/>
        <w:shd w:val="solid" w:color="FFFFFF" w:fill="auto"/>
        <w:adjustRightInd w:val="0"/>
        <w:snapToGrid w:val="0"/>
        <w:spacing w:line="560" w:lineRule="exact"/>
        <w:ind w:firstLine="31680" w:firstLineChars="200"/>
        <w:jc w:val="left"/>
        <w:rPr>
          <w:rFonts w:ascii="楷体_GB2312" w:hAnsi="??_GB2312" w:eastAsia="楷体_GB2312" w:cs="Times New Roman"/>
          <w:b/>
          <w:bCs/>
          <w:color w:val="auto"/>
          <w:kern w:val="0"/>
          <w:sz w:val="28"/>
          <w:szCs w:val="28"/>
          <w:shd w:val="clear" w:color="auto" w:fill="FFFFFF"/>
        </w:rPr>
      </w:pPr>
      <w:r>
        <w:rPr>
          <w:rFonts w:hint="eastAsia" w:ascii="楷体_GB2312" w:hAnsi="宋体" w:eastAsia="楷体_GB2312" w:cs="楷体_GB2312"/>
          <w:b/>
          <w:bCs/>
          <w:color w:val="auto"/>
          <w:kern w:val="0"/>
          <w:sz w:val="28"/>
          <w:szCs w:val="28"/>
          <w:shd w:val="clear" w:color="auto" w:fill="FFFFFF"/>
        </w:rPr>
        <w:t>（</w:t>
      </w:r>
      <w:r>
        <w:rPr>
          <w:rFonts w:ascii="楷体_GB2312" w:hAnsi="??_GB2312" w:eastAsia="楷体_GB2312" w:cs="楷体_GB2312"/>
          <w:b/>
          <w:bCs/>
          <w:color w:val="auto"/>
          <w:kern w:val="0"/>
          <w:sz w:val="28"/>
          <w:szCs w:val="28"/>
          <w:shd w:val="clear" w:color="auto" w:fill="FFFFFF"/>
        </w:rPr>
        <w:t>3</w:t>
      </w:r>
      <w:r>
        <w:rPr>
          <w:rFonts w:hint="eastAsia" w:ascii="楷体_GB2312" w:hAnsi="宋体" w:eastAsia="楷体_GB2312" w:cs="楷体_GB2312"/>
          <w:b/>
          <w:bCs/>
          <w:color w:val="auto"/>
          <w:kern w:val="0"/>
          <w:sz w:val="28"/>
          <w:szCs w:val="28"/>
          <w:shd w:val="clear" w:color="auto" w:fill="FFFFFF"/>
        </w:rPr>
        <w:t>）借款报销事项应与借款事项一致，不得套用资金，不得因私借款。</w:t>
      </w:r>
    </w:p>
    <w:p>
      <w:pPr>
        <w:widowControl/>
        <w:shd w:val="solid" w:color="FFFFFF" w:fill="auto"/>
        <w:adjustRightInd w:val="0"/>
        <w:snapToGrid w:val="0"/>
        <w:spacing w:line="560" w:lineRule="exact"/>
        <w:ind w:firstLine="640"/>
        <w:jc w:val="left"/>
        <w:rPr>
          <w:rFonts w:hint="eastAsia" w:ascii="宋体" w:hAnsi="宋体" w:eastAsia="宋体" w:cs="宋体"/>
          <w:b/>
          <w:bCs/>
          <w:color w:val="auto"/>
          <w:sz w:val="30"/>
          <w:szCs w:val="30"/>
        </w:rPr>
      </w:pPr>
      <w:r>
        <w:rPr>
          <w:rFonts w:hint="eastAsia" w:ascii="宋体" w:hAnsi="宋体" w:eastAsia="宋体" w:cs="宋体"/>
          <w:b/>
          <w:bCs/>
          <w:color w:val="auto"/>
          <w:kern w:val="0"/>
          <w:sz w:val="30"/>
          <w:szCs w:val="30"/>
          <w:shd w:val="clear" w:color="auto" w:fill="FFFFFF"/>
        </w:rPr>
        <w:t>2、</w:t>
      </w:r>
      <w:r>
        <w:rPr>
          <w:rFonts w:hint="eastAsia" w:ascii="宋体" w:hAnsi="宋体" w:cs="宋体"/>
          <w:b/>
          <w:bCs/>
          <w:color w:val="auto"/>
          <w:kern w:val="0"/>
          <w:sz w:val="30"/>
          <w:szCs w:val="30"/>
          <w:shd w:val="clear" w:color="auto" w:fill="FFFFFF"/>
          <w:lang w:eastAsia="zh-CN"/>
        </w:rPr>
        <w:t>结算</w:t>
      </w:r>
      <w:r>
        <w:rPr>
          <w:rFonts w:hint="eastAsia" w:ascii="宋体" w:hAnsi="宋体" w:eastAsia="宋体" w:cs="宋体"/>
          <w:b/>
          <w:bCs/>
          <w:color w:val="auto"/>
          <w:kern w:val="0"/>
          <w:sz w:val="30"/>
          <w:szCs w:val="30"/>
          <w:shd w:val="clear" w:color="auto" w:fill="FFFFFF"/>
        </w:rPr>
        <w:t>手续</w:t>
      </w:r>
    </w:p>
    <w:p>
      <w:pPr>
        <w:ind w:firstLine="31680" w:firstLineChars="200"/>
        <w:rPr>
          <w:rFonts w:hint="eastAsia" w:ascii="仿宋_GB2312" w:hAnsi="仿宋_GB2312" w:eastAsia="仿宋_GB2312" w:cs="仿宋_GB2312"/>
          <w:color w:val="auto"/>
          <w:kern w:val="0"/>
          <w:sz w:val="30"/>
          <w:szCs w:val="30"/>
          <w:shd w:val="clear" w:color="auto" w:fill="FFFFFF"/>
        </w:rPr>
      </w:pPr>
      <w:r>
        <w:rPr>
          <w:rFonts w:hint="eastAsia" w:ascii="仿宋_GB2312" w:hAnsi="仿宋_GB2312" w:eastAsia="仿宋_GB2312" w:cs="仿宋_GB2312"/>
          <w:color w:val="auto"/>
          <w:kern w:val="0"/>
          <w:sz w:val="30"/>
          <w:szCs w:val="30"/>
          <w:shd w:val="clear" w:color="auto" w:fill="FFFFFF"/>
        </w:rPr>
        <w:t>（1）报销人</w:t>
      </w:r>
    </w:p>
    <w:p>
      <w:pPr>
        <w:ind w:firstLine="31680" w:firstLineChars="200"/>
        <w:rPr>
          <w:rFonts w:hint="eastAsia" w:ascii="仿宋_GB2312" w:hAnsi="仿宋_GB2312" w:eastAsia="仿宋_GB2312" w:cs="仿宋_GB2312"/>
          <w:color w:val="auto"/>
          <w:kern w:val="0"/>
          <w:sz w:val="30"/>
          <w:szCs w:val="30"/>
          <w:shd w:val="clear" w:color="auto" w:fill="FFFFFF"/>
        </w:rPr>
      </w:pPr>
      <w:r>
        <w:rPr>
          <w:rFonts w:hint="eastAsia" w:ascii="仿宋_GB2312" w:hAnsi="仿宋_GB2312" w:eastAsia="仿宋_GB2312" w:cs="仿宋_GB2312"/>
          <w:color w:val="auto"/>
          <w:kern w:val="0"/>
          <w:sz w:val="30"/>
          <w:szCs w:val="30"/>
          <w:shd w:val="clear" w:color="auto" w:fill="FFFFFF"/>
        </w:rPr>
        <w:t>报销业务应由本单位正式职工办理,其他人员原则上不得办理报销业务,如确需长期聘用的社会用工人员办理报销手续的，应由经费责任单位负责人写出书面委托书方可办理。</w:t>
      </w:r>
    </w:p>
    <w:p>
      <w:pPr>
        <w:ind w:firstLine="31680" w:firstLineChars="200"/>
        <w:rPr>
          <w:rFonts w:hint="eastAsia" w:ascii="仿宋_GB2312" w:hAnsi="仿宋_GB2312" w:eastAsia="仿宋_GB2312" w:cs="仿宋_GB2312"/>
          <w:color w:val="auto"/>
          <w:kern w:val="0"/>
          <w:sz w:val="30"/>
          <w:szCs w:val="30"/>
          <w:shd w:val="clear" w:color="auto" w:fill="FFFFFF"/>
        </w:rPr>
      </w:pPr>
      <w:r>
        <w:rPr>
          <w:rFonts w:hint="eastAsia" w:ascii="仿宋_GB2312" w:hAnsi="仿宋_GB2312" w:eastAsia="仿宋_GB2312" w:cs="仿宋_GB2312"/>
          <w:color w:val="auto"/>
          <w:kern w:val="0"/>
          <w:sz w:val="30"/>
          <w:szCs w:val="30"/>
          <w:shd w:val="clear" w:color="auto" w:fill="FFFFFF"/>
        </w:rPr>
        <w:t>研究生可代导师办理导师切块经费、参与的学校预算下达的研究项目、横纵向课题等业务的报销手续，但应了解清楚涉及的业务事项，并对业务事项的合法性、真实性负连带责任。</w:t>
      </w:r>
    </w:p>
    <w:p>
      <w:pPr>
        <w:ind w:firstLine="31680" w:firstLineChars="200"/>
        <w:rPr>
          <w:rFonts w:hint="eastAsia" w:ascii="仿宋_GB2312" w:hAnsi="仿宋_GB2312" w:eastAsia="仿宋_GB2312" w:cs="仿宋_GB2312"/>
          <w:color w:val="auto"/>
          <w:kern w:val="0"/>
          <w:sz w:val="30"/>
          <w:szCs w:val="30"/>
          <w:shd w:val="clear" w:color="auto" w:fill="FFFFFF"/>
        </w:rPr>
      </w:pPr>
      <w:r>
        <w:rPr>
          <w:rFonts w:hint="eastAsia" w:ascii="仿宋_GB2312" w:hAnsi="仿宋_GB2312" w:eastAsia="仿宋_GB2312" w:cs="仿宋_GB2312"/>
          <w:color w:val="auto"/>
          <w:kern w:val="0"/>
          <w:sz w:val="30"/>
          <w:szCs w:val="30"/>
          <w:shd w:val="clear" w:color="auto" w:fill="FFFFFF"/>
        </w:rPr>
        <w:t>（2）签批</w:t>
      </w:r>
    </w:p>
    <w:p>
      <w:pPr>
        <w:widowControl/>
        <w:shd w:val="solid" w:color="FFFFFF" w:fill="auto"/>
        <w:adjustRightInd w:val="0"/>
        <w:snapToGrid w:val="0"/>
        <w:spacing w:line="560" w:lineRule="exact"/>
        <w:ind w:firstLine="64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按照内部控制要求，一般经济业务由经费负责人、经手人签字报销；涉及购买实物的由经费负责人、经手人、验收人签字报销。各类经费签批要求如下：</w:t>
      </w:r>
    </w:p>
    <w:p>
      <w:pPr>
        <w:widowControl/>
        <w:shd w:val="solid" w:color="FFFFFF" w:fill="auto"/>
        <w:adjustRightInd w:val="0"/>
        <w:snapToGrid w:val="0"/>
        <w:spacing w:line="560" w:lineRule="exact"/>
        <w:ind w:firstLine="643"/>
        <w:jc w:val="left"/>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32"/>
          <w:szCs w:val="32"/>
          <w:shd w:val="clear" w:color="auto" w:fill="FFFFFF"/>
        </w:rPr>
        <w:t>（1）学校预算分配经费及各部门、单位创收经费，由经费责任部门、单位负责人签批；学校预算给各教学单位的经费及创收经费除实行项目管理经费外实行会签制度。</w:t>
      </w:r>
    </w:p>
    <w:p>
      <w:pPr>
        <w:widowControl/>
        <w:shd w:val="solid" w:color="FFFFFF" w:fill="auto"/>
        <w:adjustRightInd w:val="0"/>
        <w:snapToGrid w:val="0"/>
        <w:spacing w:line="560" w:lineRule="exact"/>
        <w:ind w:firstLine="640"/>
        <w:jc w:val="left"/>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32"/>
          <w:szCs w:val="32"/>
          <w:shd w:val="clear" w:color="auto" w:fill="FFFFFF"/>
        </w:rPr>
        <w:t>（2）设备购置费和专项维修费，按规定程序审批立项后，立项经费由项目负责人和业务主管部门行政负责人签批。</w:t>
      </w:r>
    </w:p>
    <w:p>
      <w:pPr>
        <w:widowControl/>
        <w:shd w:val="solid" w:color="FFFFFF" w:fill="auto"/>
        <w:adjustRightInd w:val="0"/>
        <w:snapToGrid w:val="0"/>
        <w:spacing w:line="560" w:lineRule="exact"/>
        <w:ind w:firstLine="640"/>
        <w:jc w:val="left"/>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32"/>
          <w:szCs w:val="32"/>
          <w:shd w:val="clear" w:color="auto" w:fill="FFFFFF"/>
        </w:rPr>
        <w:t>（3）教学立项经费，按规定程序立项后，由项目负责人签批，涉及设备费开支的，由项目负责人和教务处处长签批。</w:t>
      </w:r>
    </w:p>
    <w:p>
      <w:pPr>
        <w:widowControl/>
        <w:shd w:val="solid" w:color="FFFFFF" w:fill="auto"/>
        <w:adjustRightInd w:val="0"/>
        <w:snapToGrid w:val="0"/>
        <w:spacing w:line="560" w:lineRule="exact"/>
        <w:ind w:firstLine="640"/>
        <w:jc w:val="left"/>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32"/>
          <w:szCs w:val="32"/>
          <w:shd w:val="clear" w:color="auto" w:fill="FFFFFF"/>
        </w:rPr>
        <w:t>（4）高端人才及博士科研启动费，按规定程序审批立项后，在规定开支范围内由项目负责人签批。</w:t>
      </w:r>
    </w:p>
    <w:p>
      <w:pPr>
        <w:widowControl/>
        <w:shd w:val="solid" w:color="FFFFFF" w:fill="auto"/>
        <w:adjustRightInd w:val="0"/>
        <w:snapToGrid w:val="0"/>
        <w:spacing w:line="560" w:lineRule="exact"/>
        <w:ind w:firstLine="640"/>
        <w:jc w:val="left"/>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32"/>
          <w:szCs w:val="32"/>
          <w:shd w:val="clear" w:color="auto" w:fill="FFFFFF"/>
        </w:rPr>
        <w:t>（5）校内配套省级以上课题经费，按规定程序审批立项后，由业务主管部门负责人签批。</w:t>
      </w:r>
    </w:p>
    <w:p>
      <w:pPr>
        <w:widowControl/>
        <w:shd w:val="solid" w:color="FFFFFF" w:fill="auto"/>
        <w:adjustRightInd w:val="0"/>
        <w:snapToGrid w:val="0"/>
        <w:spacing w:line="560" w:lineRule="exact"/>
        <w:ind w:firstLine="640"/>
        <w:jc w:val="left"/>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32"/>
          <w:szCs w:val="32"/>
          <w:shd w:val="clear" w:color="auto" w:fill="FFFFFF"/>
        </w:rPr>
        <w:t>（6）研究生导师切块经费，按规定程序审批立项后，由导师签批。</w:t>
      </w:r>
    </w:p>
    <w:p>
      <w:pPr>
        <w:widowControl/>
        <w:shd w:val="solid" w:color="FFFFFF" w:fill="auto"/>
        <w:adjustRightInd w:val="0"/>
        <w:snapToGrid w:val="0"/>
        <w:spacing w:line="560" w:lineRule="exact"/>
        <w:ind w:firstLine="640"/>
        <w:jc w:val="left"/>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32"/>
          <w:szCs w:val="32"/>
          <w:shd w:val="clear" w:color="auto" w:fill="FFFFFF"/>
        </w:rPr>
        <w:t>（7）学校预算经费原则上不得开支招待费。因特殊情况需要开支招待费时，需要分管校长签批。</w:t>
      </w:r>
    </w:p>
    <w:p>
      <w:pPr>
        <w:widowControl/>
        <w:shd w:val="solid" w:color="FFFFFF" w:fill="auto"/>
        <w:adjustRightInd w:val="0"/>
        <w:snapToGrid w:val="0"/>
        <w:spacing w:line="560" w:lineRule="exact"/>
        <w:ind w:firstLine="640"/>
        <w:jc w:val="left"/>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32"/>
          <w:szCs w:val="32"/>
          <w:shd w:val="clear" w:color="auto" w:fill="FFFFFF"/>
        </w:rPr>
        <w:t>（8）学科建设经费、教学专项经费等，按学校有关管理办法签批。</w:t>
      </w:r>
    </w:p>
    <w:p>
      <w:pPr>
        <w:widowControl/>
        <w:shd w:val="solid" w:color="FFFFFF" w:fill="auto"/>
        <w:adjustRightInd w:val="0"/>
        <w:snapToGrid w:val="0"/>
        <w:spacing w:line="560" w:lineRule="exact"/>
        <w:ind w:firstLine="640"/>
        <w:jc w:val="left"/>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32"/>
          <w:szCs w:val="32"/>
          <w:shd w:val="clear" w:color="auto" w:fill="FFFFFF"/>
        </w:rPr>
        <w:t>（9）横、纵向课题经费，在预算和规定开支范围内由课题负责人签批。</w:t>
      </w:r>
    </w:p>
    <w:p>
      <w:pPr>
        <w:ind w:firstLine="3168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32"/>
          <w:szCs w:val="32"/>
          <w:shd w:val="clear" w:color="auto" w:fill="FFFFFF"/>
        </w:rPr>
        <w:t>（10）</w:t>
      </w:r>
      <w:r>
        <w:rPr>
          <w:rFonts w:hint="eastAsia" w:ascii="仿宋_GB2312" w:hAnsi="仿宋_GB2312" w:eastAsia="仿宋_GB2312" w:cs="仿宋_GB2312"/>
          <w:color w:val="auto"/>
          <w:kern w:val="0"/>
          <w:sz w:val="30"/>
          <w:szCs w:val="30"/>
          <w:shd w:val="clear" w:color="auto" w:fill="FFFFFF"/>
        </w:rPr>
        <w:t>学生退学，应先到计划财务处收费管理部办理登记，再按有关规定退款，退款时领款人须在支出凭证上签字。</w:t>
      </w:r>
    </w:p>
    <w:p>
      <w:pPr>
        <w:widowControl/>
        <w:shd w:val="solid" w:color="FFFFFF" w:fill="auto"/>
        <w:adjustRightInd w:val="0"/>
        <w:snapToGrid w:val="0"/>
        <w:spacing w:line="560" w:lineRule="exact"/>
        <w:ind w:firstLine="640"/>
        <w:jc w:val="left"/>
        <w:rPr>
          <w:rFonts w:ascii="楷体_GB2312" w:hAnsi="宋体" w:eastAsia="楷体_GB2312" w:cs="Times New Roman"/>
          <w:b/>
          <w:bCs/>
          <w:color w:val="auto"/>
          <w:kern w:val="0"/>
          <w:sz w:val="28"/>
          <w:szCs w:val="28"/>
          <w:shd w:val="clear" w:color="auto" w:fill="FFFFFF"/>
        </w:rPr>
      </w:pPr>
      <w:r>
        <w:rPr>
          <w:rFonts w:hint="eastAsia" w:ascii="楷体_GB2312" w:hAnsi="宋体" w:eastAsia="楷体_GB2312" w:cs="楷体_GB2312"/>
          <w:b/>
          <w:bCs/>
          <w:color w:val="auto"/>
          <w:kern w:val="0"/>
          <w:sz w:val="28"/>
          <w:szCs w:val="28"/>
          <w:shd w:val="clear" w:color="auto" w:fill="FFFFFF"/>
        </w:rPr>
        <w:t>特别提示：</w:t>
      </w:r>
    </w:p>
    <w:p>
      <w:pPr>
        <w:widowControl/>
        <w:shd w:val="solid" w:color="FFFFFF" w:fill="auto"/>
        <w:adjustRightInd w:val="0"/>
        <w:snapToGrid w:val="0"/>
        <w:spacing w:line="560" w:lineRule="exact"/>
        <w:ind w:firstLine="640"/>
        <w:jc w:val="left"/>
        <w:rPr>
          <w:rFonts w:hint="eastAsia" w:ascii="楷体_GB2312" w:hAnsi="宋体" w:eastAsia="楷体_GB2312" w:cs="楷体_GB2312"/>
          <w:b/>
          <w:bCs/>
          <w:color w:val="auto"/>
          <w:kern w:val="0"/>
          <w:sz w:val="28"/>
          <w:szCs w:val="28"/>
          <w:shd w:val="clear" w:color="auto" w:fill="FFFFFF"/>
        </w:rPr>
      </w:pPr>
      <w:r>
        <w:rPr>
          <w:rFonts w:hint="eastAsia" w:ascii="楷体_GB2312" w:hAnsi="宋体" w:eastAsia="楷体_GB2312" w:cs="楷体_GB2312"/>
          <w:b/>
          <w:bCs/>
          <w:color w:val="auto"/>
          <w:kern w:val="0"/>
          <w:sz w:val="28"/>
          <w:szCs w:val="28"/>
          <w:shd w:val="clear" w:color="auto" w:fill="FFFFFF"/>
        </w:rPr>
        <w:t>横、纵向课题经费，按学校规定提取的管理费和</w:t>
      </w:r>
      <w:r>
        <w:rPr>
          <w:rFonts w:ascii="楷体_GB2312" w:hAnsi="宋体" w:eastAsia="楷体_GB2312" w:cs="楷体_GB2312"/>
          <w:b/>
          <w:bCs/>
          <w:color w:val="auto"/>
          <w:kern w:val="0"/>
          <w:sz w:val="28"/>
          <w:szCs w:val="28"/>
          <w:shd w:val="clear" w:color="auto" w:fill="FFFFFF"/>
        </w:rPr>
        <w:t>3</w:t>
      </w:r>
      <w:r>
        <w:rPr>
          <w:rFonts w:hint="eastAsia" w:ascii="楷体_GB2312" w:hAnsi="宋体" w:eastAsia="楷体_GB2312" w:cs="楷体_GB2312"/>
          <w:b/>
          <w:bCs/>
          <w:color w:val="auto"/>
          <w:kern w:val="0"/>
          <w:sz w:val="28"/>
          <w:szCs w:val="28"/>
          <w:shd w:val="clear" w:color="auto" w:fill="FFFFFF"/>
        </w:rPr>
        <w:t>万元及以上外拨资金，由业务主管部门负责人签批。</w:t>
      </w:r>
    </w:p>
    <w:p>
      <w:pPr>
        <w:widowControl/>
        <w:shd w:val="solid" w:color="FFFFFF" w:fill="auto"/>
        <w:adjustRightInd w:val="0"/>
        <w:snapToGrid w:val="0"/>
        <w:spacing w:line="560" w:lineRule="exact"/>
        <w:ind w:firstLine="640"/>
        <w:jc w:val="left"/>
        <w:rPr>
          <w:rFonts w:hint="eastAsia" w:ascii="楷体_GB2312" w:hAnsi="宋体" w:eastAsia="楷体_GB2312" w:cs="楷体_GB2312"/>
          <w:b/>
          <w:bCs/>
          <w:color w:val="auto"/>
          <w:kern w:val="0"/>
          <w:sz w:val="28"/>
          <w:szCs w:val="28"/>
          <w:shd w:val="clear" w:color="auto" w:fill="FFFFFF"/>
          <w:lang w:eastAsia="zh-CN"/>
        </w:rPr>
      </w:pPr>
      <w:r>
        <w:rPr>
          <w:rFonts w:hint="eastAsia" w:ascii="楷体_GB2312" w:hAnsi="宋体" w:eastAsia="楷体_GB2312" w:cs="楷体_GB2312"/>
          <w:b/>
          <w:bCs/>
          <w:color w:val="auto"/>
          <w:kern w:val="0"/>
          <w:sz w:val="28"/>
          <w:szCs w:val="28"/>
          <w:shd w:val="clear" w:color="auto" w:fill="FFFFFF"/>
        </w:rPr>
        <w:t>课题负责人本人的经费支出及课题负责人为报销人时由学科归属学院负责人签批</w:t>
      </w:r>
      <w:r>
        <w:rPr>
          <w:rFonts w:hint="eastAsia" w:ascii="楷体_GB2312" w:hAnsi="宋体" w:eastAsia="楷体_GB2312" w:cs="楷体_GB2312"/>
          <w:b/>
          <w:bCs/>
          <w:color w:val="auto"/>
          <w:kern w:val="0"/>
          <w:sz w:val="28"/>
          <w:szCs w:val="28"/>
          <w:shd w:val="clear" w:color="auto" w:fill="FFFFFF"/>
          <w:lang w:val="en-US" w:eastAsia="zh-CN"/>
        </w:rPr>
        <w:t>,或经学院负责人授权签批</w:t>
      </w:r>
      <w:r>
        <w:rPr>
          <w:rFonts w:hint="eastAsia" w:ascii="楷体_GB2312" w:hAnsi="宋体" w:eastAsia="楷体_GB2312" w:cs="楷体_GB2312"/>
          <w:b/>
          <w:bCs/>
          <w:color w:val="auto"/>
          <w:kern w:val="0"/>
          <w:sz w:val="28"/>
          <w:szCs w:val="28"/>
          <w:shd w:val="clear" w:color="auto" w:fill="FFFFFF"/>
          <w:lang w:eastAsia="zh-CN"/>
        </w:rPr>
        <w:t>。</w:t>
      </w:r>
    </w:p>
    <w:p>
      <w:pPr>
        <w:widowControl/>
        <w:shd w:val="solid" w:color="FFFFFF" w:fill="auto"/>
        <w:adjustRightInd w:val="0"/>
        <w:snapToGrid w:val="0"/>
        <w:spacing w:line="560" w:lineRule="exact"/>
        <w:ind w:firstLine="640"/>
        <w:jc w:val="left"/>
        <w:rPr>
          <w:rFonts w:hint="eastAsia" w:ascii="楷体_GB2312" w:hAnsi="宋体" w:eastAsia="楷体_GB2312" w:cs="楷体_GB2312"/>
          <w:b/>
          <w:bCs/>
          <w:color w:val="auto"/>
          <w:kern w:val="0"/>
          <w:sz w:val="28"/>
          <w:szCs w:val="28"/>
          <w:shd w:val="clear" w:color="auto" w:fill="FFFFFF"/>
          <w:lang w:eastAsia="zh-CN"/>
        </w:rPr>
      </w:pPr>
      <w:r>
        <w:rPr>
          <w:rFonts w:hint="eastAsia" w:ascii="楷体_GB2312" w:hAnsi="宋体" w:eastAsia="楷体_GB2312" w:cs="楷体_GB2312"/>
          <w:b/>
          <w:bCs/>
          <w:color w:val="auto"/>
          <w:kern w:val="0"/>
          <w:sz w:val="28"/>
          <w:szCs w:val="28"/>
          <w:shd w:val="clear" w:color="auto" w:fill="FFFFFF"/>
          <w:lang w:eastAsia="zh-CN"/>
        </w:rPr>
        <w:t>对学院范围内使用和支配的经费（含教师教学科研项目）及出差审批、特殊情况审批等事项，各学院可根据学院实际情况实行授权审批签字。经学院党政联席会议研究同意，可授权有关业务分管领导对某领域经济业务审批签字。</w:t>
      </w:r>
    </w:p>
    <w:p>
      <w:pPr>
        <w:widowControl/>
        <w:shd w:val="solid" w:color="FFFFFF" w:fill="auto"/>
        <w:adjustRightInd w:val="0"/>
        <w:snapToGrid w:val="0"/>
        <w:spacing w:line="560" w:lineRule="exact"/>
        <w:ind w:firstLine="31680" w:firstLineChars="200"/>
        <w:jc w:val="left"/>
        <w:rPr>
          <w:rFonts w:hint="eastAsia" w:ascii="宋体" w:hAnsi="宋体" w:eastAsia="宋体" w:cs="宋体"/>
          <w:b/>
          <w:bCs/>
          <w:color w:val="auto"/>
          <w:sz w:val="30"/>
          <w:szCs w:val="30"/>
        </w:rPr>
      </w:pPr>
      <w:r>
        <w:rPr>
          <w:rFonts w:hint="eastAsia" w:ascii="宋体" w:hAnsi="宋体" w:eastAsia="宋体" w:cs="宋体"/>
          <w:b/>
          <w:bCs/>
          <w:color w:val="auto"/>
          <w:kern w:val="0"/>
          <w:sz w:val="30"/>
          <w:szCs w:val="30"/>
          <w:shd w:val="clear" w:color="auto" w:fill="FFFFFF"/>
        </w:rPr>
        <w:t>3、缴款手续</w:t>
      </w:r>
    </w:p>
    <w:p>
      <w:pPr>
        <w:widowControl/>
        <w:shd w:val="solid" w:color="FFFFFF" w:fill="auto"/>
        <w:adjustRightInd w:val="0"/>
        <w:snapToGrid w:val="0"/>
        <w:spacing w:line="560" w:lineRule="exact"/>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shd w:val="clear" w:color="auto" w:fill="FFFFFF"/>
        </w:rPr>
        <w:t xml:space="preserve">   （1）各部门、单位创收收入，应由缴款经办人填写计划财务处印制的“部门、单位创收收入缴款表”，由部门、单位负责人签字后，到财务办理缴款手续。各种成人教育、专业学位、中外合作办学、留学生等学历班和培训班的收入上缴学校时须附学生名单，注明收费项目及标准。</w:t>
      </w:r>
    </w:p>
    <w:p>
      <w:pPr>
        <w:widowControl/>
        <w:shd w:val="solid" w:color="FFFFFF" w:fill="auto"/>
        <w:adjustRightInd w:val="0"/>
        <w:snapToGrid w:val="0"/>
        <w:spacing w:line="560" w:lineRule="exact"/>
        <w:ind w:firstLine="31680" w:firstLineChars="200"/>
        <w:jc w:val="left"/>
        <w:rPr>
          <w:rFonts w:hint="eastAsia" w:ascii="仿宋_GB2312" w:hAnsi="仿宋_GB2312" w:eastAsia="仿宋_GB2312" w:cs="仿宋_GB2312"/>
          <w:color w:val="auto"/>
          <w:kern w:val="0"/>
          <w:sz w:val="30"/>
          <w:szCs w:val="30"/>
          <w:shd w:val="clear" w:color="auto" w:fill="FFFFFF"/>
        </w:rPr>
      </w:pPr>
      <w:r>
        <w:rPr>
          <w:rFonts w:hint="eastAsia" w:ascii="仿宋_GB2312" w:hAnsi="仿宋_GB2312" w:eastAsia="仿宋_GB2312" w:cs="仿宋_GB2312"/>
          <w:color w:val="auto"/>
          <w:kern w:val="0"/>
          <w:sz w:val="30"/>
          <w:szCs w:val="30"/>
          <w:shd w:val="clear" w:color="auto" w:fill="FFFFFF"/>
        </w:rPr>
        <w:t>（2）学校代发工资的单位，请于每季度最后一个月发放工资后（11日）到计划财务处进行返还应缴工资核对，于当月的28日前结清工资，否则停止工资代发。</w:t>
      </w:r>
    </w:p>
    <w:p>
      <w:pPr>
        <w:widowControl/>
        <w:shd w:val="solid" w:color="FFFFFF" w:fill="auto"/>
        <w:adjustRightInd w:val="0"/>
        <w:snapToGrid w:val="0"/>
        <w:spacing w:line="560" w:lineRule="exact"/>
        <w:ind w:firstLine="31680" w:firstLineChars="200"/>
        <w:jc w:val="left"/>
        <w:rPr>
          <w:rFonts w:hint="eastAsia" w:ascii="仿宋_GB2312" w:hAnsi="仿宋_GB2312" w:eastAsia="仿宋_GB2312" w:cs="仿宋_GB2312"/>
          <w:color w:val="auto"/>
          <w:kern w:val="0"/>
          <w:sz w:val="30"/>
          <w:szCs w:val="30"/>
          <w:shd w:val="clear" w:color="auto" w:fill="FFFFFF"/>
        </w:rPr>
      </w:pPr>
      <w:r>
        <w:rPr>
          <w:rFonts w:hint="eastAsia" w:ascii="仿宋_GB2312" w:hAnsi="仿宋_GB2312" w:eastAsia="仿宋_GB2312" w:cs="仿宋_GB2312"/>
          <w:color w:val="auto"/>
          <w:kern w:val="0"/>
          <w:sz w:val="30"/>
          <w:szCs w:val="30"/>
          <w:shd w:val="clear" w:color="auto" w:fill="FFFFFF"/>
        </w:rPr>
        <w:t>（3）涉及教学科研类资产出租出借取得收入，应附出租出借合同。</w:t>
      </w:r>
    </w:p>
    <w:p>
      <w:pPr>
        <w:widowControl/>
        <w:shd w:val="solid" w:color="FFFFFF" w:fill="auto"/>
        <w:adjustRightInd w:val="0"/>
        <w:snapToGrid w:val="0"/>
        <w:spacing w:line="560" w:lineRule="exact"/>
        <w:ind w:firstLine="31680" w:firstLineChars="200"/>
        <w:jc w:val="left"/>
        <w:rPr>
          <w:rFonts w:ascii="楷体_GB2312" w:hAnsi="宋体" w:eastAsia="楷体_GB2312" w:cs="Times New Roman"/>
          <w:b/>
          <w:bCs/>
          <w:color w:val="auto"/>
          <w:kern w:val="0"/>
          <w:sz w:val="28"/>
          <w:szCs w:val="28"/>
          <w:shd w:val="clear" w:color="auto" w:fill="FFFFFF"/>
        </w:rPr>
      </w:pPr>
      <w:r>
        <w:rPr>
          <w:rFonts w:hint="eastAsia" w:ascii="楷体_GB2312" w:hAnsi="宋体" w:eastAsia="楷体_GB2312" w:cs="楷体_GB2312"/>
          <w:b/>
          <w:bCs/>
          <w:color w:val="auto"/>
          <w:kern w:val="0"/>
          <w:sz w:val="28"/>
          <w:szCs w:val="28"/>
          <w:shd w:val="clear" w:color="auto" w:fill="FFFFFF"/>
        </w:rPr>
        <w:t>特别提示</w:t>
      </w:r>
    </w:p>
    <w:p>
      <w:pPr>
        <w:widowControl/>
        <w:shd w:val="solid" w:color="FFFFFF" w:fill="auto"/>
        <w:adjustRightInd w:val="0"/>
        <w:snapToGrid w:val="0"/>
        <w:spacing w:line="560" w:lineRule="exact"/>
        <w:ind w:firstLine="31680" w:firstLineChars="200"/>
        <w:jc w:val="left"/>
        <w:rPr>
          <w:rFonts w:ascii="楷体_GB2312" w:hAnsi="??_GB2312" w:eastAsia="楷体_GB2312" w:cs="Times New Roman"/>
          <w:b/>
          <w:bCs/>
          <w:color w:val="auto"/>
          <w:kern w:val="0"/>
          <w:sz w:val="28"/>
          <w:szCs w:val="28"/>
          <w:shd w:val="clear" w:color="auto" w:fill="FFFFFF"/>
        </w:rPr>
      </w:pPr>
      <w:r>
        <w:rPr>
          <w:rFonts w:hint="eastAsia" w:ascii="楷体_GB2312" w:hAnsi="宋体" w:eastAsia="楷体_GB2312" w:cs="楷体_GB2312"/>
          <w:b/>
          <w:bCs/>
          <w:color w:val="auto"/>
          <w:kern w:val="0"/>
          <w:sz w:val="28"/>
          <w:szCs w:val="28"/>
          <w:shd w:val="clear" w:color="auto" w:fill="FFFFFF"/>
        </w:rPr>
        <w:t>涉及零星收费业务，由各部门会同财务处共同处理，及时上缴，不得私存私放，不得以各种理由坐收坐支，否则，按“小金库”论处。</w:t>
      </w:r>
    </w:p>
    <w:p>
      <w:pPr>
        <w:ind w:firstLine="570"/>
        <w:jc w:val="left"/>
        <w:rPr>
          <w:rFonts w:hint="eastAsia" w:ascii="宋体" w:hAnsi="宋体" w:cs="宋体"/>
          <w:b/>
          <w:bCs/>
          <w:sz w:val="32"/>
          <w:szCs w:val="32"/>
        </w:rPr>
      </w:pPr>
      <w:r>
        <w:rPr>
          <w:rFonts w:hint="eastAsia" w:ascii="宋体" w:hAnsi="宋体" w:cs="宋体"/>
          <w:b/>
          <w:bCs/>
          <w:sz w:val="32"/>
          <w:szCs w:val="32"/>
          <w:lang w:eastAsia="zh-CN"/>
        </w:rPr>
        <w:t>四</w:t>
      </w:r>
      <w:r>
        <w:rPr>
          <w:rFonts w:hint="eastAsia" w:ascii="宋体" w:hAnsi="宋体" w:cs="宋体"/>
          <w:b/>
          <w:bCs/>
          <w:sz w:val="32"/>
          <w:szCs w:val="32"/>
        </w:rPr>
        <w:t>、付款方式</w:t>
      </w:r>
    </w:p>
    <w:p>
      <w:pPr>
        <w:widowControl/>
        <w:shd w:val="solid" w:color="FFFFFF" w:fill="auto"/>
        <w:adjustRightInd w:val="0"/>
        <w:snapToGrid w:val="0"/>
        <w:spacing w:line="560" w:lineRule="exact"/>
        <w:ind w:firstLine="31680" w:firstLineChars="200"/>
        <w:jc w:val="left"/>
        <w:rPr>
          <w:rFonts w:hint="eastAsia" w:ascii="宋体" w:hAnsi="宋体" w:eastAsia="宋体" w:cs="宋体"/>
          <w:b/>
          <w:bCs/>
          <w:sz w:val="30"/>
          <w:szCs w:val="30"/>
        </w:rPr>
      </w:pPr>
      <w:r>
        <w:rPr>
          <w:rFonts w:hint="eastAsia" w:ascii="宋体" w:hAnsi="宋体" w:eastAsia="宋体" w:cs="宋体"/>
          <w:b/>
          <w:bCs/>
          <w:kern w:val="0"/>
          <w:sz w:val="30"/>
          <w:szCs w:val="30"/>
          <w:shd w:val="clear" w:color="auto" w:fill="FFFFFF"/>
        </w:rPr>
        <w:t>1、公务卡</w:t>
      </w:r>
    </w:p>
    <w:p>
      <w:pPr>
        <w:widowControl/>
        <w:shd w:val="solid" w:color="FFFFFF" w:fill="auto"/>
        <w:adjustRightInd w:val="0"/>
        <w:snapToGrid w:val="0"/>
        <w:spacing w:line="560" w:lineRule="exact"/>
        <w:ind w:firstLine="3168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shd w:val="clear" w:color="auto" w:fill="FFFFFF"/>
        </w:rPr>
        <w:t>（1） 公务卡取代原现金结算方式, 适用范围即是原现金结算的公用经费支出，包括办公费、差旅费、会议费、培训费、公务接待费、维修费、教学科研实验材料、车辆运行维护费等现金结算起点（1000元）以下的零星商品服务购买支出。</w:t>
      </w:r>
    </w:p>
    <w:p>
      <w:pPr>
        <w:widowControl/>
        <w:shd w:val="solid" w:color="FFFFFF" w:fill="auto"/>
        <w:adjustRightInd w:val="0"/>
        <w:snapToGrid w:val="0"/>
        <w:spacing w:line="560" w:lineRule="exact"/>
        <w:ind w:firstLine="640"/>
        <w:jc w:val="left"/>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shd w:val="clear" w:color="auto" w:fill="FFFFFF"/>
        </w:rPr>
        <w:t>（2）不论资金来源，纳入公务卡结算范围的经济业务必须使用公务卡结算。除暂不执行公务卡结算情形外，确实因特殊情况不能使用公务卡结算，须凭“山东理工大学特殊情况结算审批单”及相关财务凭证办理报销手续。</w:t>
      </w:r>
    </w:p>
    <w:p>
      <w:pPr>
        <w:widowControl/>
        <w:shd w:val="solid" w:color="FFFFFF" w:fill="auto"/>
        <w:adjustRightInd w:val="0"/>
        <w:snapToGrid w:val="0"/>
        <w:spacing w:line="560" w:lineRule="exact"/>
        <w:ind w:firstLine="31680" w:firstLineChars="200"/>
        <w:jc w:val="left"/>
        <w:rPr>
          <w:rFonts w:ascii="楷体_GB2312" w:hAnsi="宋体" w:eastAsia="楷体_GB2312" w:cs="Times New Roman"/>
          <w:b/>
          <w:bCs/>
          <w:color w:val="auto"/>
          <w:kern w:val="0"/>
          <w:sz w:val="28"/>
          <w:szCs w:val="28"/>
          <w:shd w:val="clear" w:color="auto" w:fill="FFFFFF"/>
        </w:rPr>
      </w:pPr>
      <w:r>
        <w:rPr>
          <w:rFonts w:hint="eastAsia" w:ascii="楷体_GB2312" w:hAnsi="宋体" w:eastAsia="楷体_GB2312" w:cs="楷体_GB2312"/>
          <w:b/>
          <w:bCs/>
          <w:color w:val="auto"/>
          <w:kern w:val="0"/>
          <w:sz w:val="28"/>
          <w:szCs w:val="28"/>
          <w:shd w:val="clear" w:color="auto" w:fill="FFFFFF"/>
        </w:rPr>
        <w:t>特别提示</w:t>
      </w:r>
    </w:p>
    <w:p>
      <w:pPr>
        <w:widowControl/>
        <w:shd w:val="solid" w:color="FFFFFF" w:fill="auto"/>
        <w:adjustRightInd w:val="0"/>
        <w:snapToGrid w:val="0"/>
        <w:spacing w:line="560" w:lineRule="exact"/>
        <w:ind w:firstLine="31680" w:firstLineChars="200"/>
        <w:jc w:val="left"/>
        <w:rPr>
          <w:rFonts w:ascii="楷体_GB2312" w:hAnsi="宋体" w:eastAsia="楷体_GB2312" w:cs="Times New Roman"/>
          <w:b/>
          <w:bCs/>
          <w:color w:val="auto"/>
          <w:kern w:val="0"/>
          <w:sz w:val="28"/>
          <w:szCs w:val="28"/>
          <w:shd w:val="clear" w:color="auto" w:fill="FFFFFF"/>
        </w:rPr>
      </w:pPr>
      <w:r>
        <w:rPr>
          <w:rFonts w:hint="eastAsia" w:ascii="楷体_GB2312" w:hAnsi="宋体" w:eastAsia="楷体_GB2312" w:cs="楷体_GB2312"/>
          <w:b/>
          <w:bCs/>
          <w:color w:val="auto"/>
          <w:kern w:val="0"/>
          <w:sz w:val="28"/>
          <w:szCs w:val="28"/>
          <w:shd w:val="clear" w:color="auto" w:fill="FFFFFF"/>
        </w:rPr>
        <w:t>（</w:t>
      </w:r>
      <w:r>
        <w:rPr>
          <w:rFonts w:ascii="楷体_GB2312" w:hAnsi="宋体" w:eastAsia="楷体_GB2312" w:cs="楷体_GB2312"/>
          <w:b/>
          <w:bCs/>
          <w:color w:val="auto"/>
          <w:kern w:val="0"/>
          <w:sz w:val="28"/>
          <w:szCs w:val="28"/>
          <w:shd w:val="clear" w:color="auto" w:fill="FFFFFF"/>
        </w:rPr>
        <w:t>1</w:t>
      </w:r>
      <w:r>
        <w:rPr>
          <w:rFonts w:hint="eastAsia" w:ascii="楷体_GB2312" w:hAnsi="宋体" w:eastAsia="楷体_GB2312" w:cs="楷体_GB2312"/>
          <w:b/>
          <w:bCs/>
          <w:color w:val="auto"/>
          <w:kern w:val="0"/>
          <w:sz w:val="28"/>
          <w:szCs w:val="28"/>
          <w:shd w:val="clear" w:color="auto" w:fill="FFFFFF"/>
        </w:rPr>
        <w:t>）火车票、汽车票</w:t>
      </w:r>
      <w:r>
        <w:rPr>
          <w:rFonts w:hint="eastAsia" w:ascii="楷体_GB2312" w:hAnsi="宋体" w:eastAsia="楷体_GB2312" w:cs="楷体_GB2312"/>
          <w:b/>
          <w:bCs/>
          <w:color w:val="auto"/>
          <w:kern w:val="0"/>
          <w:sz w:val="28"/>
          <w:szCs w:val="28"/>
          <w:shd w:val="clear" w:color="auto" w:fill="FFFFFF"/>
          <w:lang w:eastAsia="zh-CN"/>
        </w:rPr>
        <w:t>、汽油费</w:t>
      </w:r>
      <w:r>
        <w:rPr>
          <w:rFonts w:hint="eastAsia" w:ascii="楷体_GB2312" w:hAnsi="宋体" w:eastAsia="楷体_GB2312" w:cs="楷体_GB2312"/>
          <w:b/>
          <w:bCs/>
          <w:color w:val="auto"/>
          <w:kern w:val="0"/>
          <w:sz w:val="28"/>
          <w:szCs w:val="28"/>
          <w:shd w:val="clear" w:color="auto" w:fill="FFFFFF"/>
        </w:rPr>
        <w:t>可根据刷卡条件、刷卡手续费情况选择使用公务卡结算。</w:t>
      </w:r>
    </w:p>
    <w:p>
      <w:pPr>
        <w:widowControl/>
        <w:shd w:val="solid" w:color="FFFFFF" w:fill="auto"/>
        <w:adjustRightInd w:val="0"/>
        <w:snapToGrid w:val="0"/>
        <w:spacing w:line="560" w:lineRule="exact"/>
        <w:ind w:firstLine="31680" w:firstLineChars="200"/>
        <w:jc w:val="left"/>
        <w:rPr>
          <w:rFonts w:ascii="楷体_GB2312" w:hAnsi="宋体" w:eastAsia="楷体_GB2312" w:cs="Times New Roman"/>
          <w:b/>
          <w:bCs/>
          <w:color w:val="auto"/>
          <w:kern w:val="0"/>
          <w:sz w:val="28"/>
          <w:szCs w:val="28"/>
          <w:shd w:val="clear" w:color="auto" w:fill="FFFFFF"/>
        </w:rPr>
      </w:pPr>
      <w:r>
        <w:rPr>
          <w:rFonts w:hint="eastAsia" w:ascii="楷体_GB2312" w:hAnsi="宋体" w:eastAsia="楷体_GB2312" w:cs="楷体_GB2312"/>
          <w:b/>
          <w:bCs/>
          <w:color w:val="auto"/>
          <w:kern w:val="0"/>
          <w:sz w:val="28"/>
          <w:szCs w:val="28"/>
          <w:shd w:val="clear" w:color="auto" w:fill="FFFFFF"/>
        </w:rPr>
        <w:t>（</w:t>
      </w:r>
      <w:r>
        <w:rPr>
          <w:rFonts w:ascii="楷体_GB2312" w:hAnsi="宋体" w:eastAsia="楷体_GB2312" w:cs="楷体_GB2312"/>
          <w:b/>
          <w:bCs/>
          <w:color w:val="auto"/>
          <w:kern w:val="0"/>
          <w:sz w:val="28"/>
          <w:szCs w:val="28"/>
          <w:shd w:val="clear" w:color="auto" w:fill="FFFFFF"/>
        </w:rPr>
        <w:t>2</w:t>
      </w:r>
      <w:r>
        <w:rPr>
          <w:rFonts w:hint="eastAsia" w:ascii="楷体_GB2312" w:hAnsi="宋体" w:eastAsia="楷体_GB2312" w:cs="楷体_GB2312"/>
          <w:b/>
          <w:bCs/>
          <w:color w:val="auto"/>
          <w:kern w:val="0"/>
          <w:sz w:val="28"/>
          <w:szCs w:val="28"/>
          <w:shd w:val="clear" w:color="auto" w:fill="FFFFFF"/>
        </w:rPr>
        <w:t>）签证费、快递费、过桥过路费、</w:t>
      </w:r>
      <w:r>
        <w:rPr>
          <w:rFonts w:hint="eastAsia" w:ascii="楷体_GB2312" w:hAnsi="宋体" w:eastAsia="楷体_GB2312" w:cs="楷体_GB2312"/>
          <w:b/>
          <w:bCs/>
          <w:color w:val="auto"/>
          <w:kern w:val="0"/>
          <w:sz w:val="28"/>
          <w:szCs w:val="28"/>
          <w:shd w:val="clear" w:color="auto" w:fill="FFFFFF"/>
          <w:lang w:eastAsia="zh-CN"/>
        </w:rPr>
        <w:t>市内</w:t>
      </w:r>
      <w:r>
        <w:rPr>
          <w:rFonts w:hint="eastAsia" w:ascii="楷体_GB2312" w:hAnsi="宋体" w:eastAsia="楷体_GB2312" w:cs="楷体_GB2312"/>
          <w:b/>
          <w:bCs/>
          <w:color w:val="auto"/>
          <w:kern w:val="0"/>
          <w:sz w:val="28"/>
          <w:szCs w:val="28"/>
          <w:shd w:val="clear" w:color="auto" w:fill="FFFFFF"/>
        </w:rPr>
        <w:t>出租车</w:t>
      </w:r>
      <w:r>
        <w:rPr>
          <w:rFonts w:hint="eastAsia" w:ascii="楷体_GB2312" w:hAnsi="宋体" w:eastAsia="楷体_GB2312" w:cs="楷体_GB2312"/>
          <w:b/>
          <w:bCs/>
          <w:color w:val="auto"/>
          <w:kern w:val="0"/>
          <w:sz w:val="28"/>
          <w:szCs w:val="28"/>
          <w:shd w:val="clear" w:color="auto" w:fill="FFFFFF"/>
          <w:lang w:eastAsia="zh-CN"/>
        </w:rPr>
        <w:t>费</w:t>
      </w:r>
      <w:r>
        <w:rPr>
          <w:rFonts w:hint="eastAsia" w:ascii="楷体_GB2312" w:hAnsi="宋体" w:eastAsia="楷体_GB2312" w:cs="楷体_GB2312"/>
          <w:b/>
          <w:bCs/>
          <w:color w:val="auto"/>
          <w:kern w:val="0"/>
          <w:sz w:val="28"/>
          <w:szCs w:val="28"/>
          <w:shd w:val="clear" w:color="auto" w:fill="FFFFFF"/>
        </w:rPr>
        <w:t>等可不使用公务卡结算。</w:t>
      </w:r>
    </w:p>
    <w:p>
      <w:pPr>
        <w:widowControl/>
        <w:shd w:val="solid" w:color="FFFFFF" w:fill="auto"/>
        <w:adjustRightInd w:val="0"/>
        <w:snapToGrid w:val="0"/>
        <w:spacing w:line="560" w:lineRule="exact"/>
        <w:ind w:firstLine="31680" w:firstLineChars="200"/>
        <w:jc w:val="left"/>
        <w:rPr>
          <w:rFonts w:ascii="楷体_GB2312" w:hAnsi="宋体" w:eastAsia="楷体_GB2312" w:cs="Times New Roman"/>
          <w:b/>
          <w:bCs/>
          <w:color w:val="auto"/>
          <w:kern w:val="0"/>
          <w:sz w:val="28"/>
          <w:szCs w:val="28"/>
          <w:shd w:val="clear" w:color="auto" w:fill="FFFFFF"/>
        </w:rPr>
      </w:pPr>
      <w:r>
        <w:rPr>
          <w:rFonts w:hint="eastAsia" w:ascii="楷体_GB2312" w:hAnsi="宋体" w:eastAsia="楷体_GB2312" w:cs="楷体_GB2312"/>
          <w:b/>
          <w:bCs/>
          <w:color w:val="auto"/>
          <w:kern w:val="0"/>
          <w:sz w:val="28"/>
          <w:szCs w:val="28"/>
          <w:shd w:val="clear" w:color="auto" w:fill="FFFFFF"/>
        </w:rPr>
        <w:t>（</w:t>
      </w:r>
      <w:r>
        <w:rPr>
          <w:rFonts w:ascii="楷体_GB2312" w:hAnsi="宋体" w:eastAsia="楷体_GB2312" w:cs="楷体_GB2312"/>
          <w:b/>
          <w:bCs/>
          <w:color w:val="auto"/>
          <w:kern w:val="0"/>
          <w:sz w:val="28"/>
          <w:szCs w:val="28"/>
          <w:shd w:val="clear" w:color="auto" w:fill="FFFFFF"/>
        </w:rPr>
        <w:t>3</w:t>
      </w:r>
      <w:r>
        <w:rPr>
          <w:rFonts w:hint="eastAsia" w:ascii="楷体_GB2312" w:hAnsi="宋体" w:eastAsia="楷体_GB2312" w:cs="楷体_GB2312"/>
          <w:b/>
          <w:bCs/>
          <w:color w:val="auto"/>
          <w:kern w:val="0"/>
          <w:sz w:val="28"/>
          <w:szCs w:val="28"/>
          <w:shd w:val="clear" w:color="auto" w:fill="FFFFFF"/>
        </w:rPr>
        <w:t>）不具备刷卡条件或刷卡机器出现故障，可由商家在发票背面注明并加盖发票专用章。</w:t>
      </w:r>
    </w:p>
    <w:p>
      <w:pPr>
        <w:widowControl/>
        <w:shd w:val="solid" w:color="FFFFFF" w:fill="auto"/>
        <w:adjustRightInd w:val="0"/>
        <w:snapToGrid w:val="0"/>
        <w:spacing w:line="560" w:lineRule="exact"/>
        <w:ind w:firstLine="31680" w:firstLineChars="200"/>
        <w:jc w:val="left"/>
        <w:rPr>
          <w:rFonts w:ascii="楷体_GB2312" w:hAnsi="宋体" w:eastAsia="楷体_GB2312" w:cs="Times New Roman"/>
          <w:b/>
          <w:bCs/>
          <w:color w:val="auto"/>
          <w:kern w:val="0"/>
          <w:sz w:val="28"/>
          <w:szCs w:val="28"/>
          <w:shd w:val="clear" w:color="auto" w:fill="FFFFFF"/>
        </w:rPr>
      </w:pPr>
      <w:r>
        <w:rPr>
          <w:rFonts w:hint="eastAsia" w:ascii="楷体_GB2312" w:hAnsi="宋体" w:eastAsia="楷体_GB2312" w:cs="楷体_GB2312"/>
          <w:b/>
          <w:bCs/>
          <w:color w:val="auto"/>
          <w:kern w:val="0"/>
          <w:sz w:val="28"/>
          <w:szCs w:val="28"/>
          <w:shd w:val="clear" w:color="auto" w:fill="FFFFFF"/>
        </w:rPr>
        <w:t>（</w:t>
      </w:r>
      <w:r>
        <w:rPr>
          <w:rFonts w:ascii="楷体_GB2312" w:hAnsi="宋体" w:eastAsia="楷体_GB2312" w:cs="楷体_GB2312"/>
          <w:b/>
          <w:bCs/>
          <w:color w:val="auto"/>
          <w:kern w:val="0"/>
          <w:sz w:val="28"/>
          <w:szCs w:val="28"/>
          <w:shd w:val="clear" w:color="auto" w:fill="FFFFFF"/>
        </w:rPr>
        <w:t>4</w:t>
      </w:r>
      <w:r>
        <w:rPr>
          <w:rFonts w:hint="eastAsia" w:ascii="楷体_GB2312" w:hAnsi="宋体" w:eastAsia="楷体_GB2312" w:cs="楷体_GB2312"/>
          <w:b/>
          <w:bCs/>
          <w:color w:val="auto"/>
          <w:kern w:val="0"/>
          <w:sz w:val="28"/>
          <w:szCs w:val="28"/>
          <w:shd w:val="clear" w:color="auto" w:fill="FFFFFF"/>
        </w:rPr>
        <w:t>）发票与</w:t>
      </w:r>
      <w:r>
        <w:rPr>
          <w:rFonts w:ascii="楷体_GB2312" w:hAnsi="宋体" w:eastAsia="楷体_GB2312" w:cs="楷体_GB2312"/>
          <w:b/>
          <w:bCs/>
          <w:color w:val="auto"/>
          <w:kern w:val="0"/>
          <w:sz w:val="28"/>
          <w:szCs w:val="28"/>
          <w:shd w:val="clear" w:color="auto" w:fill="FFFFFF"/>
        </w:rPr>
        <w:t>pos</w:t>
      </w:r>
      <w:r>
        <w:rPr>
          <w:rFonts w:hint="eastAsia" w:ascii="楷体_GB2312" w:hAnsi="宋体" w:eastAsia="楷体_GB2312" w:cs="楷体_GB2312"/>
          <w:b/>
          <w:bCs/>
          <w:color w:val="auto"/>
          <w:kern w:val="0"/>
          <w:sz w:val="28"/>
          <w:szCs w:val="28"/>
          <w:shd w:val="clear" w:color="auto" w:fill="FFFFFF"/>
        </w:rPr>
        <w:t>小票商家不一致的，可由商家在</w:t>
      </w:r>
      <w:r>
        <w:rPr>
          <w:rFonts w:ascii="楷体_GB2312" w:hAnsi="宋体" w:eastAsia="楷体_GB2312" w:cs="楷体_GB2312"/>
          <w:b/>
          <w:bCs/>
          <w:color w:val="auto"/>
          <w:kern w:val="0"/>
          <w:sz w:val="28"/>
          <w:szCs w:val="28"/>
          <w:shd w:val="clear" w:color="auto" w:fill="FFFFFF"/>
        </w:rPr>
        <w:t>pos</w:t>
      </w:r>
      <w:r>
        <w:rPr>
          <w:rFonts w:hint="eastAsia" w:ascii="楷体_GB2312" w:hAnsi="宋体" w:eastAsia="楷体_GB2312" w:cs="楷体_GB2312"/>
          <w:b/>
          <w:bCs/>
          <w:color w:val="auto"/>
          <w:kern w:val="0"/>
          <w:sz w:val="28"/>
          <w:szCs w:val="28"/>
          <w:shd w:val="clear" w:color="auto" w:fill="FFFFFF"/>
        </w:rPr>
        <w:t>小票加盖发票专用章。</w:t>
      </w:r>
    </w:p>
    <w:p>
      <w:pPr>
        <w:widowControl/>
        <w:shd w:val="solid" w:color="FFFFFF" w:fill="auto"/>
        <w:adjustRightInd w:val="0"/>
        <w:snapToGrid w:val="0"/>
        <w:spacing w:line="560" w:lineRule="exact"/>
        <w:ind w:firstLine="31680" w:firstLineChars="200"/>
        <w:jc w:val="left"/>
        <w:rPr>
          <w:rFonts w:ascii="楷体_GB2312" w:hAnsi="宋体" w:eastAsia="楷体_GB2312" w:cs="Times New Roman"/>
          <w:b/>
          <w:bCs/>
          <w:color w:val="auto"/>
          <w:kern w:val="0"/>
          <w:sz w:val="28"/>
          <w:szCs w:val="28"/>
          <w:shd w:val="clear" w:color="auto" w:fill="FFFFFF"/>
        </w:rPr>
      </w:pPr>
      <w:r>
        <w:rPr>
          <w:rFonts w:hint="eastAsia" w:ascii="楷体_GB2312" w:hAnsi="宋体" w:eastAsia="楷体_GB2312" w:cs="楷体_GB2312"/>
          <w:b/>
          <w:bCs/>
          <w:color w:val="auto"/>
          <w:kern w:val="0"/>
          <w:sz w:val="28"/>
          <w:szCs w:val="28"/>
          <w:shd w:val="clear" w:color="auto" w:fill="FFFFFF"/>
        </w:rPr>
        <w:t>（</w:t>
      </w:r>
      <w:r>
        <w:rPr>
          <w:rFonts w:ascii="楷体_GB2312" w:hAnsi="宋体" w:eastAsia="楷体_GB2312" w:cs="楷体_GB2312"/>
          <w:b/>
          <w:bCs/>
          <w:color w:val="auto"/>
          <w:kern w:val="0"/>
          <w:sz w:val="28"/>
          <w:szCs w:val="28"/>
          <w:shd w:val="clear" w:color="auto" w:fill="FFFFFF"/>
        </w:rPr>
        <w:t>5</w:t>
      </w:r>
      <w:r>
        <w:rPr>
          <w:rFonts w:hint="eastAsia" w:ascii="楷体_GB2312" w:hAnsi="宋体" w:eastAsia="楷体_GB2312" w:cs="楷体_GB2312"/>
          <w:b/>
          <w:bCs/>
          <w:color w:val="auto"/>
          <w:kern w:val="0"/>
          <w:sz w:val="28"/>
          <w:szCs w:val="28"/>
          <w:shd w:val="clear" w:color="auto" w:fill="FFFFFF"/>
        </w:rPr>
        <w:t>）公务卡消费证明材料包括</w:t>
      </w:r>
      <w:r>
        <w:rPr>
          <w:rFonts w:ascii="楷体_GB2312" w:hAnsi="宋体" w:eastAsia="楷体_GB2312" w:cs="楷体_GB2312"/>
          <w:b/>
          <w:bCs/>
          <w:color w:val="auto"/>
          <w:kern w:val="0"/>
          <w:sz w:val="28"/>
          <w:szCs w:val="28"/>
          <w:shd w:val="clear" w:color="auto" w:fill="FFFFFF"/>
        </w:rPr>
        <w:t>pos</w:t>
      </w:r>
      <w:r>
        <w:rPr>
          <w:rFonts w:hint="eastAsia" w:ascii="楷体_GB2312" w:hAnsi="宋体" w:eastAsia="楷体_GB2312" w:cs="楷体_GB2312"/>
          <w:b/>
          <w:bCs/>
          <w:color w:val="auto"/>
          <w:kern w:val="0"/>
          <w:sz w:val="28"/>
          <w:szCs w:val="28"/>
          <w:shd w:val="clear" w:color="auto" w:fill="FFFFFF"/>
        </w:rPr>
        <w:t>小票、信用卡消费明细、交易网页截图等。</w:t>
      </w:r>
    </w:p>
    <w:p>
      <w:pPr>
        <w:widowControl/>
        <w:shd w:val="solid" w:color="FFFFFF" w:fill="auto"/>
        <w:adjustRightInd w:val="0"/>
        <w:snapToGrid w:val="0"/>
        <w:spacing w:line="560" w:lineRule="exact"/>
        <w:ind w:firstLine="31680" w:firstLineChars="200"/>
        <w:jc w:val="left"/>
        <w:rPr>
          <w:rFonts w:ascii="楷体_GB2312" w:hAnsi="宋体" w:eastAsia="楷体_GB2312" w:cs="Times New Roman"/>
          <w:b/>
          <w:bCs/>
          <w:color w:val="auto"/>
          <w:kern w:val="0"/>
          <w:sz w:val="28"/>
          <w:szCs w:val="28"/>
          <w:shd w:val="clear" w:color="auto" w:fill="FFFFFF"/>
        </w:rPr>
      </w:pPr>
      <w:r>
        <w:rPr>
          <w:rFonts w:hint="eastAsia" w:ascii="楷体_GB2312" w:hAnsi="宋体" w:eastAsia="楷体_GB2312" w:cs="楷体_GB2312"/>
          <w:b/>
          <w:bCs/>
          <w:color w:val="auto"/>
          <w:kern w:val="0"/>
          <w:sz w:val="28"/>
          <w:szCs w:val="28"/>
          <w:shd w:val="clear" w:color="auto" w:fill="FFFFFF"/>
        </w:rPr>
        <w:t>（</w:t>
      </w:r>
      <w:r>
        <w:rPr>
          <w:rFonts w:ascii="楷体_GB2312" w:hAnsi="宋体" w:eastAsia="楷体_GB2312" w:cs="楷体_GB2312"/>
          <w:b/>
          <w:bCs/>
          <w:color w:val="auto"/>
          <w:kern w:val="0"/>
          <w:sz w:val="28"/>
          <w:szCs w:val="28"/>
          <w:shd w:val="clear" w:color="auto" w:fill="FFFFFF"/>
        </w:rPr>
        <w:t>6</w:t>
      </w:r>
      <w:r>
        <w:rPr>
          <w:rFonts w:hint="eastAsia" w:ascii="楷体_GB2312" w:hAnsi="宋体" w:eastAsia="楷体_GB2312" w:cs="楷体_GB2312"/>
          <w:b/>
          <w:bCs/>
          <w:color w:val="auto"/>
          <w:kern w:val="0"/>
          <w:sz w:val="28"/>
          <w:szCs w:val="28"/>
          <w:shd w:val="clear" w:color="auto" w:fill="FFFFFF"/>
        </w:rPr>
        <w:t>）学生活动经费中由学生购买物品的，单张发票不超过</w:t>
      </w:r>
      <w:r>
        <w:rPr>
          <w:rFonts w:ascii="楷体_GB2312" w:hAnsi="宋体" w:eastAsia="楷体_GB2312" w:cs="楷体_GB2312"/>
          <w:b/>
          <w:bCs/>
          <w:color w:val="auto"/>
          <w:kern w:val="0"/>
          <w:sz w:val="28"/>
          <w:szCs w:val="28"/>
          <w:shd w:val="clear" w:color="auto" w:fill="FFFFFF"/>
        </w:rPr>
        <w:t>1000</w:t>
      </w:r>
      <w:r>
        <w:rPr>
          <w:rFonts w:hint="eastAsia" w:ascii="楷体_GB2312" w:hAnsi="宋体" w:eastAsia="楷体_GB2312" w:cs="楷体_GB2312"/>
          <w:b/>
          <w:bCs/>
          <w:color w:val="auto"/>
          <w:kern w:val="0"/>
          <w:sz w:val="28"/>
          <w:szCs w:val="28"/>
          <w:shd w:val="clear" w:color="auto" w:fill="FFFFFF"/>
        </w:rPr>
        <w:t>元，可选择非公务卡结算方式。</w:t>
      </w:r>
    </w:p>
    <w:p>
      <w:pPr>
        <w:widowControl/>
        <w:shd w:val="solid" w:color="FFFFFF" w:fill="auto"/>
        <w:adjustRightInd w:val="0"/>
        <w:snapToGrid w:val="0"/>
        <w:spacing w:line="560" w:lineRule="exact"/>
        <w:ind w:firstLine="31680" w:firstLineChars="200"/>
        <w:jc w:val="left"/>
        <w:rPr>
          <w:rFonts w:hint="eastAsia" w:ascii="楷体_GB2312" w:hAnsi="宋体" w:eastAsia="楷体_GB2312" w:cs="楷体_GB2312"/>
          <w:b/>
          <w:bCs/>
          <w:color w:val="auto"/>
          <w:kern w:val="0"/>
          <w:sz w:val="28"/>
          <w:szCs w:val="28"/>
          <w:shd w:val="clear" w:color="auto" w:fill="FFFFFF"/>
        </w:rPr>
      </w:pPr>
      <w:r>
        <w:rPr>
          <w:rFonts w:hint="eastAsia" w:ascii="楷体_GB2312" w:hAnsi="宋体" w:eastAsia="楷体_GB2312" w:cs="楷体_GB2312"/>
          <w:b/>
          <w:bCs/>
          <w:color w:val="auto"/>
          <w:kern w:val="0"/>
          <w:sz w:val="28"/>
          <w:szCs w:val="28"/>
          <w:shd w:val="clear" w:color="auto" w:fill="FFFFFF"/>
        </w:rPr>
        <w:t>（</w:t>
      </w:r>
      <w:r>
        <w:rPr>
          <w:rFonts w:ascii="楷体_GB2312" w:hAnsi="宋体" w:eastAsia="楷体_GB2312" w:cs="楷体_GB2312"/>
          <w:b/>
          <w:bCs/>
          <w:color w:val="auto"/>
          <w:kern w:val="0"/>
          <w:sz w:val="28"/>
          <w:szCs w:val="28"/>
          <w:shd w:val="clear" w:color="auto" w:fill="FFFFFF"/>
        </w:rPr>
        <w:t>7</w:t>
      </w:r>
      <w:r>
        <w:rPr>
          <w:rFonts w:hint="eastAsia" w:ascii="楷体_GB2312" w:hAnsi="宋体" w:eastAsia="楷体_GB2312" w:cs="楷体_GB2312"/>
          <w:b/>
          <w:bCs/>
          <w:color w:val="auto"/>
          <w:kern w:val="0"/>
          <w:sz w:val="28"/>
          <w:szCs w:val="28"/>
          <w:shd w:val="clear" w:color="auto" w:fill="FFFFFF"/>
        </w:rPr>
        <w:t>）如果出现限定现金消费的情形，应要求对方出具证明材料，随同财务凭证一起报销，</w:t>
      </w:r>
      <w:r>
        <w:rPr>
          <w:rFonts w:hint="eastAsia" w:ascii="楷体_GB2312" w:hAnsi="宋体" w:eastAsia="楷体_GB2312" w:cs="楷体_GB2312"/>
          <w:b/>
          <w:bCs/>
          <w:color w:val="auto"/>
          <w:kern w:val="0"/>
          <w:sz w:val="28"/>
          <w:szCs w:val="28"/>
          <w:shd w:val="clear" w:color="auto" w:fill="FFFFFF"/>
          <w:lang w:eastAsia="zh-CN"/>
        </w:rPr>
        <w:t>不按</w:t>
      </w:r>
      <w:r>
        <w:rPr>
          <w:rFonts w:hint="eastAsia" w:ascii="楷体_GB2312" w:hAnsi="宋体" w:eastAsia="楷体_GB2312" w:cs="楷体_GB2312"/>
          <w:b/>
          <w:bCs/>
          <w:color w:val="auto"/>
          <w:kern w:val="0"/>
          <w:sz w:val="28"/>
          <w:szCs w:val="28"/>
          <w:shd w:val="clear" w:color="auto" w:fill="FFFFFF"/>
        </w:rPr>
        <w:t>特殊情况审批。</w:t>
      </w:r>
    </w:p>
    <w:p>
      <w:pPr>
        <w:widowControl/>
        <w:shd w:val="solid" w:color="FFFFFF" w:fill="auto"/>
        <w:adjustRightInd w:val="0"/>
        <w:snapToGrid w:val="0"/>
        <w:spacing w:line="560" w:lineRule="exact"/>
        <w:ind w:firstLine="31680" w:firstLineChars="200"/>
        <w:jc w:val="left"/>
        <w:rPr>
          <w:rFonts w:hint="eastAsia" w:ascii="楷体_GB2312" w:hAnsi="宋体" w:eastAsia="楷体_GB2312" w:cs="楷体_GB2312"/>
          <w:b/>
          <w:bCs/>
          <w:color w:val="auto"/>
          <w:kern w:val="0"/>
          <w:sz w:val="28"/>
          <w:szCs w:val="28"/>
          <w:shd w:val="clear" w:color="auto" w:fill="FFFFFF"/>
          <w:lang w:eastAsia="zh-CN"/>
        </w:rPr>
      </w:pPr>
      <w:r>
        <w:rPr>
          <w:rFonts w:hint="eastAsia" w:ascii="楷体_GB2312" w:hAnsi="宋体" w:eastAsia="楷体_GB2312" w:cs="楷体_GB2312"/>
          <w:b/>
          <w:bCs/>
          <w:color w:val="auto"/>
          <w:kern w:val="0"/>
          <w:sz w:val="28"/>
          <w:szCs w:val="28"/>
          <w:shd w:val="clear" w:color="auto" w:fill="FFFFFF"/>
          <w:lang w:eastAsia="zh-CN"/>
        </w:rPr>
        <w:t>（</w:t>
      </w:r>
      <w:r>
        <w:rPr>
          <w:rFonts w:hint="eastAsia" w:ascii="楷体_GB2312" w:hAnsi="宋体" w:eastAsia="楷体_GB2312" w:cs="楷体_GB2312"/>
          <w:b/>
          <w:bCs/>
          <w:color w:val="auto"/>
          <w:kern w:val="0"/>
          <w:sz w:val="28"/>
          <w:szCs w:val="28"/>
          <w:shd w:val="clear" w:color="auto" w:fill="FFFFFF"/>
          <w:lang w:val="en-US" w:eastAsia="zh-CN"/>
        </w:rPr>
        <w:t>8</w:t>
      </w:r>
      <w:r>
        <w:rPr>
          <w:rFonts w:hint="eastAsia" w:ascii="楷体_GB2312" w:hAnsi="宋体" w:eastAsia="楷体_GB2312" w:cs="楷体_GB2312"/>
          <w:b/>
          <w:bCs/>
          <w:color w:val="auto"/>
          <w:kern w:val="0"/>
          <w:sz w:val="28"/>
          <w:szCs w:val="28"/>
          <w:shd w:val="clear" w:color="auto" w:fill="FFFFFF"/>
          <w:lang w:eastAsia="zh-CN"/>
        </w:rPr>
        <w:t>）在县级以下地区不具备刷卡条件的单笔</w:t>
      </w:r>
      <w:r>
        <w:rPr>
          <w:rFonts w:hint="eastAsia" w:ascii="楷体_GB2312" w:hAnsi="宋体" w:eastAsia="楷体_GB2312" w:cs="楷体_GB2312"/>
          <w:b/>
          <w:bCs/>
          <w:color w:val="auto"/>
          <w:kern w:val="0"/>
          <w:sz w:val="28"/>
          <w:szCs w:val="28"/>
          <w:shd w:val="clear" w:color="auto" w:fill="FFFFFF"/>
          <w:lang w:val="en-US" w:eastAsia="zh-CN"/>
        </w:rPr>
        <w:t>200元以下的支出，不按</w:t>
      </w:r>
      <w:r>
        <w:rPr>
          <w:rFonts w:hint="eastAsia" w:ascii="楷体_GB2312" w:hAnsi="宋体" w:eastAsia="楷体_GB2312" w:cs="楷体_GB2312"/>
          <w:b/>
          <w:bCs/>
          <w:color w:val="auto"/>
          <w:kern w:val="0"/>
          <w:sz w:val="28"/>
          <w:szCs w:val="28"/>
          <w:shd w:val="clear" w:color="auto" w:fill="FFFFFF"/>
        </w:rPr>
        <w:t>特殊情况审批。</w:t>
      </w:r>
    </w:p>
    <w:p>
      <w:pPr>
        <w:widowControl/>
        <w:shd w:val="solid" w:color="FFFFFF" w:fill="auto"/>
        <w:adjustRightInd w:val="0"/>
        <w:snapToGrid w:val="0"/>
        <w:spacing w:line="560" w:lineRule="exact"/>
        <w:ind w:firstLine="31680" w:firstLineChars="200"/>
        <w:jc w:val="left"/>
        <w:rPr>
          <w:rFonts w:hint="eastAsia" w:ascii="宋体" w:hAnsi="宋体" w:eastAsia="宋体" w:cs="宋体"/>
          <w:b/>
          <w:bCs/>
          <w:kern w:val="0"/>
          <w:sz w:val="30"/>
          <w:szCs w:val="30"/>
          <w:shd w:val="clear" w:color="auto" w:fill="FFFFFF"/>
        </w:rPr>
      </w:pPr>
      <w:r>
        <w:rPr>
          <w:rFonts w:hint="eastAsia" w:ascii="宋体" w:hAnsi="宋体" w:eastAsia="宋体" w:cs="宋体"/>
          <w:b/>
          <w:bCs/>
          <w:kern w:val="0"/>
          <w:sz w:val="30"/>
          <w:szCs w:val="30"/>
          <w:shd w:val="clear" w:color="auto" w:fill="FFFFFF"/>
          <w:lang w:val="en-US" w:eastAsia="zh-CN"/>
        </w:rPr>
        <w:t>2、</w:t>
      </w:r>
      <w:r>
        <w:rPr>
          <w:rFonts w:hint="eastAsia" w:ascii="宋体" w:hAnsi="宋体" w:eastAsia="宋体" w:cs="宋体"/>
          <w:b/>
          <w:bCs/>
          <w:kern w:val="0"/>
          <w:sz w:val="30"/>
          <w:szCs w:val="30"/>
          <w:shd w:val="clear" w:color="auto" w:fill="FFFFFF"/>
        </w:rPr>
        <w:t>银行转账</w:t>
      </w:r>
    </w:p>
    <w:p>
      <w:pPr>
        <w:widowControl/>
        <w:shd w:val="solid" w:color="FFFFFF" w:fill="auto"/>
        <w:adjustRightInd w:val="0"/>
        <w:snapToGrid w:val="0"/>
        <w:spacing w:line="560" w:lineRule="exact"/>
        <w:ind w:firstLine="31680" w:firstLineChars="200"/>
        <w:jc w:val="left"/>
        <w:rPr>
          <w:rFonts w:hint="eastAsia" w:ascii="仿宋_GB2312" w:hAnsi="仿宋_GB2312" w:eastAsia="仿宋_GB2312" w:cs="仿宋_GB2312"/>
          <w:kern w:val="0"/>
          <w:sz w:val="30"/>
          <w:szCs w:val="30"/>
          <w:shd w:val="clear" w:color="auto" w:fill="FFFFFF"/>
        </w:rPr>
      </w:pPr>
      <w:r>
        <w:rPr>
          <w:rFonts w:hint="eastAsia" w:ascii="仿宋_GB2312" w:hAnsi="仿宋_GB2312" w:eastAsia="仿宋_GB2312" w:cs="仿宋_GB2312"/>
          <w:kern w:val="0"/>
          <w:sz w:val="30"/>
          <w:szCs w:val="30"/>
          <w:shd w:val="clear" w:color="auto" w:fill="FFFFFF"/>
        </w:rPr>
        <w:t>现金结算起点（1000元）以上的购买</w:t>
      </w:r>
      <w:r>
        <w:rPr>
          <w:rFonts w:hint="eastAsia" w:ascii="仿宋_GB2312" w:hAnsi="仿宋_GB2312" w:eastAsia="仿宋_GB2312" w:cs="仿宋_GB2312"/>
          <w:color w:val="auto"/>
          <w:kern w:val="0"/>
          <w:sz w:val="30"/>
          <w:szCs w:val="30"/>
          <w:shd w:val="clear" w:color="auto" w:fill="FFFFFF"/>
        </w:rPr>
        <w:t>支付应使用</w:t>
      </w:r>
      <w:r>
        <w:rPr>
          <w:rFonts w:hint="eastAsia" w:ascii="仿宋_GB2312" w:hAnsi="仿宋_GB2312" w:eastAsia="仿宋_GB2312" w:cs="仿宋_GB2312"/>
          <w:kern w:val="0"/>
          <w:sz w:val="30"/>
          <w:szCs w:val="30"/>
          <w:shd w:val="clear" w:color="auto" w:fill="FFFFFF"/>
        </w:rPr>
        <w:t>银行转账方式。在市内购物，需办理转账支票支付；在本市以外地区购物，需通过银行以电汇、汇票等方式支付。</w:t>
      </w:r>
    </w:p>
    <w:p>
      <w:pPr>
        <w:widowControl/>
        <w:shd w:val="solid" w:color="FFFFFF" w:fill="auto"/>
        <w:adjustRightInd w:val="0"/>
        <w:snapToGrid w:val="0"/>
        <w:spacing w:line="560" w:lineRule="exact"/>
        <w:ind w:firstLine="31680" w:firstLineChars="200"/>
        <w:jc w:val="left"/>
        <w:rPr>
          <w:rFonts w:hint="eastAsia" w:ascii="楷体_GB2312" w:hAnsi="楷体_GB2312" w:eastAsia="楷体_GB2312" w:cs="楷体_GB2312"/>
          <w:b/>
          <w:bCs/>
          <w:kern w:val="0"/>
          <w:sz w:val="30"/>
          <w:szCs w:val="30"/>
          <w:shd w:val="clear" w:color="auto" w:fill="FFFFFF"/>
          <w:lang w:eastAsia="zh-CN"/>
        </w:rPr>
      </w:pPr>
      <w:r>
        <w:rPr>
          <w:rFonts w:hint="eastAsia" w:ascii="楷体_GB2312" w:hAnsi="楷体_GB2312" w:eastAsia="楷体_GB2312" w:cs="楷体_GB2312"/>
          <w:b/>
          <w:bCs/>
          <w:kern w:val="0"/>
          <w:sz w:val="30"/>
          <w:szCs w:val="30"/>
          <w:shd w:val="clear" w:color="auto" w:fill="FFFFFF"/>
          <w:lang w:eastAsia="zh-CN"/>
        </w:rPr>
        <w:t>特别提示</w:t>
      </w:r>
    </w:p>
    <w:p>
      <w:pPr>
        <w:widowControl/>
        <w:numPr>
          <w:ilvl w:val="0"/>
          <w:numId w:val="4"/>
        </w:numPr>
        <w:shd w:val="solid" w:color="FFFFFF" w:fill="auto"/>
        <w:adjustRightInd w:val="0"/>
        <w:snapToGrid w:val="0"/>
        <w:spacing w:line="560" w:lineRule="exact"/>
        <w:ind w:firstLine="31680" w:firstLineChars="200"/>
        <w:jc w:val="left"/>
        <w:rPr>
          <w:rFonts w:hint="eastAsia" w:ascii="楷体_GB2312" w:hAnsi="楷体_GB2312" w:eastAsia="楷体_GB2312" w:cs="楷体_GB2312"/>
          <w:b/>
          <w:bCs/>
          <w:kern w:val="0"/>
          <w:sz w:val="30"/>
          <w:szCs w:val="30"/>
          <w:shd w:val="clear" w:color="auto" w:fill="FFFFFF"/>
          <w:lang w:eastAsia="zh-CN"/>
        </w:rPr>
      </w:pPr>
      <w:r>
        <w:rPr>
          <w:rFonts w:hint="eastAsia" w:ascii="楷体_GB2312" w:hAnsi="楷体_GB2312" w:eastAsia="楷体_GB2312" w:cs="楷体_GB2312"/>
          <w:b/>
          <w:bCs/>
          <w:kern w:val="0"/>
          <w:sz w:val="30"/>
          <w:szCs w:val="30"/>
          <w:shd w:val="clear" w:color="auto" w:fill="FFFFFF"/>
          <w:lang w:eastAsia="zh-CN"/>
        </w:rPr>
        <w:t>直接汇给国家专利局的专利费，由于单位电汇附言字数限制可由个人直接汇给国家专利局，报销时不按特殊情况审批。通过代理公司的专利费应通过学校办理银行转账。</w:t>
      </w:r>
    </w:p>
    <w:p>
      <w:pPr>
        <w:widowControl/>
        <w:numPr>
          <w:ilvl w:val="0"/>
          <w:numId w:val="4"/>
        </w:numPr>
        <w:shd w:val="solid" w:color="FFFFFF" w:fill="auto"/>
        <w:adjustRightInd w:val="0"/>
        <w:snapToGrid w:val="0"/>
        <w:spacing w:line="560" w:lineRule="exact"/>
        <w:ind w:firstLine="31680" w:firstLineChars="200"/>
        <w:jc w:val="left"/>
        <w:rPr>
          <w:rFonts w:hint="eastAsia" w:ascii="楷体_GB2312" w:hAnsi="楷体_GB2312" w:eastAsia="楷体_GB2312" w:cs="楷体_GB2312"/>
          <w:b/>
          <w:bCs/>
          <w:kern w:val="0"/>
          <w:sz w:val="30"/>
          <w:szCs w:val="30"/>
          <w:shd w:val="clear" w:color="auto" w:fill="FFFFFF"/>
          <w:lang w:eastAsia="zh-CN"/>
        </w:rPr>
      </w:pPr>
      <w:r>
        <w:rPr>
          <w:rFonts w:hint="eastAsia" w:ascii="楷体_GB2312" w:hAnsi="楷体_GB2312" w:eastAsia="楷体_GB2312" w:cs="楷体_GB2312"/>
          <w:b/>
          <w:bCs/>
          <w:kern w:val="0"/>
          <w:sz w:val="30"/>
          <w:szCs w:val="30"/>
          <w:shd w:val="clear" w:color="auto" w:fill="FFFFFF"/>
          <w:lang w:eastAsia="zh-CN"/>
        </w:rPr>
        <w:t>学生论文版面费可由个人直接汇给杂志社，但应附发表论文的首页，报销时不按特殊情况审批。</w:t>
      </w:r>
    </w:p>
    <w:p>
      <w:pPr>
        <w:widowControl/>
        <w:shd w:val="solid" w:color="FFFFFF" w:fill="auto"/>
        <w:adjustRightInd w:val="0"/>
        <w:snapToGrid w:val="0"/>
        <w:spacing w:line="560" w:lineRule="exact"/>
        <w:ind w:firstLine="31680" w:firstLineChars="200"/>
        <w:jc w:val="left"/>
        <w:rPr>
          <w:rFonts w:hint="eastAsia" w:ascii="宋体" w:hAnsi="宋体" w:eastAsia="宋体" w:cs="宋体"/>
          <w:b/>
          <w:bCs/>
          <w:kern w:val="0"/>
          <w:sz w:val="30"/>
          <w:szCs w:val="30"/>
          <w:shd w:val="clear" w:color="auto" w:fill="FFFFFF"/>
        </w:rPr>
      </w:pPr>
      <w:r>
        <w:rPr>
          <w:rFonts w:hint="eastAsia" w:ascii="宋体" w:hAnsi="宋体" w:eastAsia="宋体" w:cs="宋体"/>
          <w:b/>
          <w:bCs/>
          <w:kern w:val="0"/>
          <w:sz w:val="30"/>
          <w:szCs w:val="30"/>
          <w:shd w:val="clear" w:color="auto" w:fill="FFFFFF"/>
          <w:lang w:val="en-US" w:eastAsia="zh-CN"/>
        </w:rPr>
        <w:t>3、</w:t>
      </w:r>
      <w:r>
        <w:rPr>
          <w:rFonts w:hint="eastAsia" w:ascii="宋体" w:hAnsi="宋体" w:eastAsia="宋体" w:cs="宋体"/>
          <w:b/>
          <w:bCs/>
          <w:kern w:val="0"/>
          <w:sz w:val="30"/>
          <w:szCs w:val="30"/>
          <w:shd w:val="clear" w:color="auto" w:fill="FFFFFF"/>
        </w:rPr>
        <w:t>个人银行卡</w:t>
      </w:r>
    </w:p>
    <w:p>
      <w:pPr>
        <w:widowControl/>
        <w:shd w:val="solid" w:color="FFFFFF" w:fill="auto"/>
        <w:adjustRightInd w:val="0"/>
        <w:snapToGrid w:val="0"/>
        <w:spacing w:line="560" w:lineRule="exact"/>
        <w:ind w:firstLine="31680" w:firstLineChars="200"/>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个人银行卡主要限定为中国农业银行、中国工商银行、中国银行、齐商银行发行的个人银行卡。</w:t>
      </w:r>
    </w:p>
    <w:p>
      <w:pPr>
        <w:widowControl/>
        <w:shd w:val="solid" w:color="FFFFFF" w:fill="auto"/>
        <w:adjustRightInd w:val="0"/>
        <w:snapToGrid w:val="0"/>
        <w:spacing w:line="560" w:lineRule="exact"/>
        <w:ind w:firstLine="31680" w:firstLineChars="200"/>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学生奖助学金、助研费、实习补助、毕业生论文复印补助、活动班费、校内教师的讲学报告、评审、咨询等劳务费等必须转入个人银行卡，不得发放现金</w:t>
      </w:r>
      <w:r>
        <w:rPr>
          <w:rFonts w:hint="eastAsia" w:ascii="仿宋" w:hAnsi="仿宋" w:eastAsia="仿宋" w:cs="仿宋"/>
          <w:color w:val="auto"/>
          <w:kern w:val="0"/>
          <w:sz w:val="30"/>
          <w:szCs w:val="30"/>
          <w:shd w:val="clear" w:color="auto" w:fill="FFFFFF"/>
          <w:lang w:eastAsia="zh-CN"/>
        </w:rPr>
        <w:t>，</w:t>
      </w:r>
      <w:r>
        <w:rPr>
          <w:rFonts w:hint="eastAsia" w:ascii="仿宋" w:hAnsi="仿宋" w:eastAsia="仿宋" w:cs="仿宋"/>
          <w:color w:val="auto"/>
          <w:kern w:val="0"/>
          <w:sz w:val="30"/>
          <w:szCs w:val="30"/>
          <w:shd w:val="clear" w:color="auto" w:fill="FFFFFF"/>
        </w:rPr>
        <w:t>如有特殊情况需要发放现金的，作为特殊事项进行审批。</w:t>
      </w:r>
    </w:p>
    <w:p>
      <w:pPr>
        <w:keepNext w:val="0"/>
        <w:keepLines w:val="0"/>
        <w:pageBreakBefore w:val="0"/>
        <w:widowControl/>
        <w:numPr>
          <w:ilvl w:val="0"/>
          <w:numId w:val="0"/>
        </w:numPr>
        <w:shd w:val="solid" w:color="FFFFFF" w:fill="auto"/>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hint="eastAsia" w:asciiTheme="minorEastAsia" w:hAnsiTheme="minorEastAsia" w:eastAsiaTheme="minorEastAsia" w:cstheme="minorEastAsia"/>
          <w:b/>
          <w:bCs/>
          <w:color w:val="auto"/>
          <w:kern w:val="0"/>
          <w:sz w:val="30"/>
          <w:szCs w:val="30"/>
          <w:shd w:val="clear" w:color="auto" w:fill="FFFFFF"/>
        </w:rPr>
      </w:pPr>
      <w:r>
        <w:rPr>
          <w:rFonts w:hint="eastAsia" w:asciiTheme="minorEastAsia" w:hAnsiTheme="minorEastAsia" w:eastAsiaTheme="minorEastAsia" w:cstheme="minorEastAsia"/>
          <w:b/>
          <w:bCs/>
          <w:color w:val="auto"/>
          <w:kern w:val="0"/>
          <w:sz w:val="30"/>
          <w:szCs w:val="30"/>
          <w:shd w:val="clear" w:color="auto" w:fill="FFFFFF"/>
          <w:lang w:val="en-US" w:eastAsia="zh-CN"/>
        </w:rPr>
        <w:t>4、</w:t>
      </w:r>
      <w:r>
        <w:rPr>
          <w:rFonts w:hint="eastAsia" w:asciiTheme="minorEastAsia" w:hAnsiTheme="minorEastAsia" w:eastAsiaTheme="minorEastAsia" w:cstheme="minorEastAsia"/>
          <w:b/>
          <w:bCs/>
          <w:color w:val="auto"/>
          <w:kern w:val="0"/>
          <w:sz w:val="30"/>
          <w:szCs w:val="30"/>
          <w:shd w:val="clear" w:color="auto" w:fill="FFFFFF"/>
        </w:rPr>
        <w:t>现金</w:t>
      </w:r>
    </w:p>
    <w:p>
      <w:pPr>
        <w:widowControl/>
        <w:shd w:val="solid" w:color="FFFFFF" w:fill="auto"/>
        <w:adjustRightInd w:val="0"/>
        <w:snapToGrid w:val="0"/>
        <w:spacing w:line="560" w:lineRule="exact"/>
        <w:ind w:firstLine="31680" w:firstLineChars="200"/>
        <w:jc w:val="left"/>
        <w:rPr>
          <w:rFonts w:ascii="??_GB2312" w:hAnsi="??_GB2312" w:eastAsia="Times New Roman" w:cs="Times New Roman"/>
          <w:color w:val="C00000"/>
          <w:kern w:val="0"/>
          <w:sz w:val="30"/>
          <w:szCs w:val="30"/>
          <w:shd w:val="clear" w:color="auto" w:fill="FFFFFF"/>
        </w:rPr>
      </w:pPr>
      <w:r>
        <w:rPr>
          <w:rFonts w:hint="eastAsia" w:ascii="仿宋" w:hAnsi="仿宋" w:eastAsia="仿宋" w:cs="仿宋"/>
          <w:color w:val="auto"/>
          <w:kern w:val="0"/>
          <w:sz w:val="30"/>
          <w:szCs w:val="30"/>
          <w:shd w:val="clear" w:color="auto" w:fill="FFFFFF"/>
        </w:rPr>
        <w:t>实行公务卡结算后一般不得现金结算，不得进行大额现金借款，不得先行垫付现金。特殊原因如校外人员无法购买公务机票的、外国专家报告费，购买农产品等需要支付给自然人现金的，金额在200元至500元之间须经计划财务处经费核算部主任签批，500元以上的按特殊情况进行审批。</w:t>
      </w:r>
    </w:p>
    <w:p>
      <w:pPr>
        <w:keepNext w:val="0"/>
        <w:keepLines w:val="0"/>
        <w:pageBreakBefore w:val="0"/>
        <w:widowControl/>
        <w:numPr>
          <w:ilvl w:val="0"/>
          <w:numId w:val="5"/>
        </w:numPr>
        <w:shd w:val="solid" w:color="FFFFFF" w:fill="auto"/>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hint="eastAsia" w:ascii="宋体" w:hAnsi="宋体" w:cs="宋体"/>
          <w:b/>
          <w:bCs/>
          <w:color w:val="auto"/>
          <w:kern w:val="0"/>
          <w:sz w:val="30"/>
          <w:szCs w:val="30"/>
          <w:shd w:val="clear" w:color="auto" w:fill="FFFFFF"/>
          <w:lang w:val="en-US" w:eastAsia="zh-CN"/>
        </w:rPr>
      </w:pPr>
      <w:r>
        <w:rPr>
          <w:rFonts w:hint="eastAsia" w:ascii="宋体" w:hAnsi="宋体" w:cs="宋体"/>
          <w:b/>
          <w:bCs/>
          <w:color w:val="auto"/>
          <w:kern w:val="0"/>
          <w:sz w:val="30"/>
          <w:szCs w:val="30"/>
          <w:shd w:val="clear" w:color="auto" w:fill="FFFFFF"/>
          <w:lang w:val="en-US" w:eastAsia="zh-CN"/>
        </w:rPr>
        <w:t>国库集中支付</w:t>
      </w:r>
    </w:p>
    <w:p>
      <w:pPr>
        <w:keepNext w:val="0"/>
        <w:keepLines w:val="0"/>
        <w:pageBreakBefore w:val="0"/>
        <w:widowControl/>
        <w:numPr>
          <w:ilvl w:val="0"/>
          <w:numId w:val="0"/>
        </w:numPr>
        <w:shd w:val="solid" w:color="FFFFFF" w:fill="auto"/>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lang w:val="en-US" w:eastAsia="zh-CN"/>
        </w:rPr>
        <w:t>主要包括财政</w:t>
      </w:r>
      <w:r>
        <w:rPr>
          <w:rFonts w:hint="eastAsia" w:ascii="仿宋" w:hAnsi="仿宋" w:eastAsia="仿宋" w:cs="仿宋"/>
          <w:color w:val="auto"/>
          <w:kern w:val="0"/>
          <w:sz w:val="30"/>
          <w:szCs w:val="30"/>
          <w:shd w:val="clear" w:color="auto" w:fill="FFFFFF"/>
        </w:rPr>
        <w:t>授权支付、直接支付</w:t>
      </w:r>
      <w:r>
        <w:rPr>
          <w:rFonts w:hint="eastAsia" w:ascii="仿宋" w:hAnsi="仿宋" w:eastAsia="仿宋" w:cs="仿宋"/>
          <w:color w:val="auto"/>
          <w:kern w:val="0"/>
          <w:sz w:val="30"/>
          <w:szCs w:val="30"/>
          <w:shd w:val="clear" w:color="auto" w:fill="FFFFFF"/>
          <w:lang w:val="en-US" w:eastAsia="zh-CN"/>
        </w:rPr>
        <w:t>两种方式</w:t>
      </w:r>
      <w:r>
        <w:rPr>
          <w:rFonts w:hint="eastAsia" w:ascii="仿宋" w:hAnsi="仿宋" w:eastAsia="仿宋" w:cs="仿宋"/>
          <w:color w:val="auto"/>
          <w:kern w:val="0"/>
          <w:sz w:val="30"/>
          <w:szCs w:val="30"/>
          <w:shd w:val="clear" w:color="auto" w:fill="FFFFFF"/>
          <w:lang w:eastAsia="zh-CN"/>
        </w:rPr>
        <w:t>，</w:t>
      </w:r>
      <w:r>
        <w:rPr>
          <w:rFonts w:hint="eastAsia" w:ascii="仿宋" w:hAnsi="仿宋" w:eastAsia="仿宋" w:cs="仿宋"/>
          <w:color w:val="auto"/>
          <w:kern w:val="0"/>
          <w:sz w:val="30"/>
          <w:szCs w:val="30"/>
          <w:shd w:val="clear" w:color="auto" w:fill="FFFFFF"/>
        </w:rPr>
        <w:t>按照山东省国库集中支付制度执行。</w:t>
      </w:r>
    </w:p>
    <w:p>
      <w:pPr>
        <w:ind w:firstLine="570"/>
        <w:jc w:val="left"/>
        <w:rPr>
          <w:rFonts w:hint="eastAsia" w:ascii="宋体" w:hAnsi="宋体" w:cs="宋体"/>
          <w:b/>
          <w:bCs/>
          <w:sz w:val="32"/>
          <w:szCs w:val="32"/>
        </w:rPr>
      </w:pPr>
      <w:r>
        <w:rPr>
          <w:rFonts w:hint="eastAsia" w:ascii="宋体" w:hAnsi="宋体" w:cs="宋体"/>
          <w:b/>
          <w:bCs/>
          <w:sz w:val="32"/>
          <w:szCs w:val="32"/>
          <w:lang w:eastAsia="zh-CN"/>
        </w:rPr>
        <w:t>五、</w:t>
      </w:r>
      <w:r>
        <w:rPr>
          <w:rFonts w:hint="eastAsia" w:ascii="宋体" w:hAnsi="宋体" w:cs="宋体"/>
          <w:b/>
          <w:bCs/>
          <w:sz w:val="32"/>
          <w:szCs w:val="32"/>
        </w:rPr>
        <w:t>经济合同</w:t>
      </w:r>
    </w:p>
    <w:p>
      <w:pPr>
        <w:keepNext w:val="0"/>
        <w:keepLines w:val="0"/>
        <w:pageBreakBefore w:val="0"/>
        <w:widowControl/>
        <w:shd w:val="solid" w:color="FFFFFF" w:fill="auto"/>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lang w:val="en-US" w:eastAsia="zh-CN"/>
        </w:rPr>
        <w:t>1</w:t>
      </w:r>
      <w:r>
        <w:rPr>
          <w:rFonts w:hint="eastAsia" w:ascii="仿宋" w:hAnsi="仿宋" w:eastAsia="仿宋" w:cs="仿宋"/>
          <w:color w:val="auto"/>
          <w:kern w:val="0"/>
          <w:sz w:val="30"/>
          <w:szCs w:val="30"/>
          <w:shd w:val="clear" w:color="auto" w:fill="FFFFFF"/>
        </w:rPr>
        <w:t>、金额超过 1 万元以上的设备、材料、服务支出等经济业务，须签署经济合同。供应商常年供货或提供服务的，月结算金额超过1万元的，必须签订经济合同，严禁分割报销。</w:t>
      </w:r>
    </w:p>
    <w:p>
      <w:pPr>
        <w:keepNext w:val="0"/>
        <w:keepLines w:val="0"/>
        <w:pageBreakBefore w:val="0"/>
        <w:widowControl/>
        <w:shd w:val="solid" w:color="FFFFFF" w:fill="auto"/>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lang w:val="en-US" w:eastAsia="zh-CN"/>
        </w:rPr>
        <w:t>2</w:t>
      </w:r>
      <w:r>
        <w:rPr>
          <w:rFonts w:hint="eastAsia" w:ascii="仿宋" w:hAnsi="仿宋" w:eastAsia="仿宋" w:cs="仿宋"/>
          <w:color w:val="auto"/>
          <w:kern w:val="0"/>
          <w:sz w:val="30"/>
          <w:szCs w:val="30"/>
        </w:rPr>
        <w:t>、严格执行《山东理工大学合同审查备案办法》（鲁理工大政发〔2006〕第129号）。</w:t>
      </w:r>
      <w:r>
        <w:rPr>
          <w:rFonts w:hint="eastAsia" w:ascii="仿宋" w:hAnsi="仿宋" w:eastAsia="仿宋" w:cs="仿宋"/>
          <w:color w:val="auto"/>
          <w:kern w:val="0"/>
          <w:sz w:val="30"/>
          <w:szCs w:val="30"/>
          <w:shd w:val="clear" w:color="auto" w:fill="FFFFFF"/>
        </w:rPr>
        <w:t>合同用印首先要填写“山东理工大学合同章用印表”，业务主管部门或经费负责人签字后，</w:t>
      </w:r>
      <w:r>
        <w:rPr>
          <w:rFonts w:hint="eastAsia" w:ascii="仿宋" w:hAnsi="仿宋" w:eastAsia="仿宋" w:cs="仿宋"/>
          <w:color w:val="auto"/>
          <w:kern w:val="0"/>
          <w:sz w:val="30"/>
          <w:szCs w:val="30"/>
        </w:rPr>
        <w:t>经法律事务室审查签字、计划财务处审核无误后加盖“山东理工大学合同专用章”（学校制式合同除外）。</w:t>
      </w:r>
      <w:r>
        <w:rPr>
          <w:rFonts w:hint="eastAsia" w:ascii="仿宋" w:hAnsi="仿宋" w:eastAsia="仿宋" w:cs="仿宋"/>
          <w:color w:val="auto"/>
          <w:kern w:val="0"/>
          <w:sz w:val="30"/>
          <w:szCs w:val="30"/>
          <w:shd w:val="clear" w:color="auto" w:fill="FFFFFF"/>
        </w:rPr>
        <w:t>合同上由双方法人或委托授权人签字盖章，加盖对方单位公章或合同专用章，注明双方单位的开户帐号、开户银行名称，签署合同的日期。</w:t>
      </w:r>
    </w:p>
    <w:p>
      <w:pPr>
        <w:keepNext w:val="0"/>
        <w:keepLines w:val="0"/>
        <w:pageBreakBefore w:val="0"/>
        <w:widowControl/>
        <w:shd w:val="solid" w:color="FFFFFF" w:fill="auto"/>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rPr>
        <w:t>任何部门、单位非经学校法人授权，不得用本部门、单位行政章对内对外签订合同，否则一切经济、法律责任由签署单位和单位负责人负责。</w:t>
      </w:r>
    </w:p>
    <w:p>
      <w:pPr>
        <w:keepNext w:val="0"/>
        <w:keepLines w:val="0"/>
        <w:pageBreakBefore w:val="0"/>
        <w:widowControl/>
        <w:numPr>
          <w:ilvl w:val="0"/>
          <w:numId w:val="0"/>
        </w:numPr>
        <w:shd w:val="solid" w:color="FFFFFF" w:fill="auto"/>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rPr>
        <w:t>购建经费一般不支付预付款，如确需支付预付款的，预付款一般不超过合同金额的40%，特殊原因需要超过40%的，主管部门要在签订合同前填写“预付款审批单”，经主管部门负责人和其分管校领导审批后，交计划财务处备案。</w:t>
      </w:r>
    </w:p>
    <w:p>
      <w:pPr>
        <w:keepNext w:val="0"/>
        <w:keepLines w:val="0"/>
        <w:pageBreakBefore w:val="0"/>
        <w:widowControl/>
        <w:numPr>
          <w:ilvl w:val="0"/>
          <w:numId w:val="0"/>
        </w:numPr>
        <w:shd w:val="solid" w:color="FFFFFF" w:fill="auto"/>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lang w:val="en-US" w:eastAsia="zh-CN"/>
        </w:rPr>
        <w:t>4、</w:t>
      </w:r>
      <w:r>
        <w:rPr>
          <w:rFonts w:hint="eastAsia" w:ascii="仿宋" w:hAnsi="仿宋" w:eastAsia="仿宋" w:cs="仿宋"/>
          <w:color w:val="auto"/>
          <w:kern w:val="0"/>
          <w:sz w:val="30"/>
          <w:szCs w:val="30"/>
          <w:shd w:val="clear" w:color="auto" w:fill="FFFFFF"/>
        </w:rPr>
        <w:t>学校银行账户信息</w:t>
      </w:r>
    </w:p>
    <w:p>
      <w:pPr>
        <w:keepNext w:val="0"/>
        <w:keepLines w:val="0"/>
        <w:pageBreakBefore w:val="0"/>
        <w:widowControl/>
        <w:shd w:val="solid" w:color="FFFFFF" w:fill="auto"/>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户名：山东理工大学</w:t>
      </w:r>
    </w:p>
    <w:p>
      <w:pPr>
        <w:keepNext w:val="0"/>
        <w:keepLines w:val="0"/>
        <w:pageBreakBefore w:val="0"/>
        <w:widowControl/>
        <w:shd w:val="solid" w:color="FFFFFF" w:fill="auto"/>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开户银行：山东省淄博市农行高新技术产业开发区支行</w:t>
      </w:r>
    </w:p>
    <w:p>
      <w:pPr>
        <w:keepNext w:val="0"/>
        <w:keepLines w:val="0"/>
        <w:pageBreakBefore w:val="0"/>
        <w:widowControl/>
        <w:shd w:val="solid" w:color="FFFFFF" w:fill="auto"/>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帐号：15256401040000110</w:t>
      </w:r>
    </w:p>
    <w:p>
      <w:pPr>
        <w:keepNext w:val="0"/>
        <w:keepLines w:val="0"/>
        <w:pageBreakBefore w:val="0"/>
        <w:widowControl/>
        <w:numPr>
          <w:ilvl w:val="0"/>
          <w:numId w:val="0"/>
        </w:numPr>
        <w:shd w:val="solid" w:color="FFFFFF" w:fill="auto"/>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hint="eastAsia" w:ascii="仿宋" w:hAnsi="仿宋" w:eastAsia="仿宋" w:cs="仿宋"/>
          <w:b w:val="0"/>
          <w:bCs w:val="0"/>
          <w:color w:val="auto"/>
          <w:kern w:val="0"/>
          <w:sz w:val="30"/>
          <w:szCs w:val="30"/>
          <w:shd w:val="clear" w:color="auto" w:fill="FFFFFF"/>
        </w:rPr>
      </w:pPr>
      <w:r>
        <w:rPr>
          <w:rFonts w:hint="eastAsia" w:ascii="仿宋" w:hAnsi="仿宋" w:eastAsia="仿宋" w:cs="仿宋"/>
          <w:b w:val="0"/>
          <w:bCs w:val="0"/>
          <w:color w:val="auto"/>
          <w:kern w:val="0"/>
          <w:sz w:val="30"/>
          <w:szCs w:val="30"/>
          <w:shd w:val="clear" w:color="auto" w:fill="FFFFFF"/>
        </w:rPr>
        <w:t>支付系统行号：103453025618</w:t>
      </w:r>
    </w:p>
    <w:p>
      <w:pPr>
        <w:keepNext w:val="0"/>
        <w:keepLines w:val="0"/>
        <w:pageBreakBefore w:val="0"/>
        <w:widowControl/>
        <w:numPr>
          <w:ilvl w:val="0"/>
          <w:numId w:val="0"/>
        </w:numPr>
        <w:shd w:val="solid" w:color="FFFFFF" w:fill="auto"/>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hint="eastAsia" w:ascii="仿宋" w:hAnsi="仿宋" w:eastAsia="仿宋" w:cs="仿宋"/>
          <w:b w:val="0"/>
          <w:bCs w:val="0"/>
          <w:color w:val="auto"/>
          <w:kern w:val="0"/>
          <w:sz w:val="30"/>
          <w:szCs w:val="30"/>
          <w:shd w:val="clear" w:color="auto" w:fill="FFFFFF"/>
        </w:rPr>
      </w:pPr>
      <w:r>
        <w:rPr>
          <w:rFonts w:hint="eastAsia" w:ascii="仿宋" w:hAnsi="仿宋" w:eastAsia="仿宋" w:cs="仿宋"/>
          <w:b w:val="0"/>
          <w:bCs w:val="0"/>
          <w:color w:val="auto"/>
          <w:kern w:val="0"/>
          <w:sz w:val="30"/>
          <w:szCs w:val="30"/>
          <w:shd w:val="clear" w:color="auto" w:fill="FFFFFF"/>
        </w:rPr>
        <w:t>税号：37030349557139X</w:t>
      </w:r>
    </w:p>
    <w:p>
      <w:pPr>
        <w:widowControl/>
        <w:numPr>
          <w:ilvl w:val="0"/>
          <w:numId w:val="0"/>
        </w:numPr>
        <w:shd w:val="solid" w:color="FFFFFF" w:fill="auto"/>
        <w:adjustRightInd w:val="0"/>
        <w:snapToGrid w:val="0"/>
        <w:spacing w:line="560" w:lineRule="exact"/>
        <w:jc w:val="left"/>
        <w:rPr>
          <w:rFonts w:hint="eastAsia" w:ascii="楷体" w:hAnsi="楷体" w:eastAsia="楷体" w:cs="楷体"/>
          <w:b/>
          <w:bCs/>
          <w:color w:val="auto"/>
          <w:kern w:val="0"/>
          <w:sz w:val="30"/>
          <w:szCs w:val="30"/>
          <w:shd w:val="clear" w:color="auto" w:fill="FFFFFF"/>
        </w:rPr>
      </w:pPr>
      <w:r>
        <w:rPr>
          <w:rFonts w:hint="eastAsia" w:ascii="楷体" w:hAnsi="楷体" w:eastAsia="楷体" w:cs="楷体"/>
          <w:b/>
          <w:bCs/>
          <w:color w:val="auto"/>
          <w:kern w:val="0"/>
          <w:sz w:val="30"/>
          <w:szCs w:val="30"/>
          <w:shd w:val="clear" w:color="auto" w:fill="FFFFFF"/>
        </w:rPr>
        <w:t>特别提示</w:t>
      </w:r>
    </w:p>
    <w:p>
      <w:pPr>
        <w:widowControl/>
        <w:shd w:val="solid" w:color="FFFFFF" w:fill="auto"/>
        <w:adjustRightInd w:val="0"/>
        <w:snapToGrid w:val="0"/>
        <w:spacing w:line="560" w:lineRule="exact"/>
        <w:ind w:firstLine="31680" w:firstLineChars="200"/>
        <w:jc w:val="left"/>
        <w:rPr>
          <w:rFonts w:hint="eastAsia" w:ascii="楷体" w:hAnsi="楷体" w:eastAsia="楷体" w:cs="楷体"/>
          <w:b/>
          <w:bCs/>
          <w:color w:val="auto"/>
          <w:kern w:val="0"/>
          <w:sz w:val="30"/>
          <w:szCs w:val="30"/>
          <w:shd w:val="clear" w:color="auto" w:fill="FFFFFF"/>
        </w:rPr>
      </w:pPr>
      <w:r>
        <w:rPr>
          <w:rFonts w:hint="eastAsia" w:ascii="楷体" w:hAnsi="楷体" w:eastAsia="楷体" w:cs="楷体"/>
          <w:b/>
          <w:bCs/>
          <w:color w:val="auto"/>
          <w:kern w:val="0"/>
          <w:sz w:val="30"/>
          <w:szCs w:val="30"/>
          <w:shd w:val="clear" w:color="auto" w:fill="FFFFFF"/>
        </w:rPr>
        <w:t>签订图书出版合同时，著作权人应为山东理工大学，署名权为作者个人。</w:t>
      </w:r>
    </w:p>
    <w:p>
      <w:pPr>
        <w:jc w:val="center"/>
        <w:rPr>
          <w:rFonts w:ascii="??_GB2312" w:hAnsi="??_GB2312" w:eastAsia="Times New Roman" w:cs="Times New Roman"/>
          <w:b/>
          <w:bCs/>
          <w:kern w:val="0"/>
          <w:sz w:val="30"/>
          <w:szCs w:val="30"/>
          <w:shd w:val="clear" w:color="auto" w:fill="FFFFFF"/>
        </w:rPr>
      </w:pPr>
      <w:r>
        <w:rPr>
          <w:rFonts w:hint="eastAsia" w:ascii="宋体" w:hAnsi="宋体" w:cs="宋体"/>
          <w:b/>
          <w:bCs/>
          <w:kern w:val="0"/>
          <w:sz w:val="32"/>
          <w:szCs w:val="32"/>
          <w:shd w:val="clear" w:color="auto" w:fill="FFFFFF"/>
        </w:rPr>
        <w:t>第二部分</w:t>
      </w:r>
      <w:r>
        <w:rPr>
          <w:rFonts w:ascii="??_GB2312" w:hAnsi="??_GB2312" w:eastAsia="Times New Roman" w:cs="Times New Roman"/>
          <w:b/>
          <w:bCs/>
          <w:kern w:val="0"/>
          <w:sz w:val="32"/>
          <w:szCs w:val="32"/>
          <w:shd w:val="clear" w:color="auto" w:fill="FFFFFF"/>
        </w:rPr>
        <w:t xml:space="preserve"> </w:t>
      </w:r>
      <w:r>
        <w:rPr>
          <w:rFonts w:hint="eastAsia" w:ascii="宋体" w:hAnsi="宋体" w:cs="宋体"/>
          <w:b/>
          <w:bCs/>
          <w:kern w:val="0"/>
          <w:sz w:val="32"/>
          <w:szCs w:val="32"/>
          <w:shd w:val="clear" w:color="auto" w:fill="FFFFFF"/>
        </w:rPr>
        <w:t>报销细则</w:t>
      </w:r>
    </w:p>
    <w:p>
      <w:pPr>
        <w:ind w:firstLine="570"/>
        <w:jc w:val="left"/>
        <w:rPr>
          <w:rFonts w:hint="eastAsia" w:ascii="宋体" w:hAnsi="宋体" w:cs="宋体"/>
          <w:b/>
          <w:bCs/>
          <w:sz w:val="32"/>
          <w:szCs w:val="32"/>
        </w:rPr>
      </w:pPr>
      <w:r>
        <w:rPr>
          <w:rFonts w:hint="eastAsia" w:ascii="宋体" w:hAnsi="宋体" w:cs="宋体"/>
          <w:b/>
          <w:bCs/>
          <w:sz w:val="32"/>
          <w:szCs w:val="32"/>
        </w:rPr>
        <w:t>一、办公费、专用材料</w:t>
      </w:r>
    </w:p>
    <w:p>
      <w:pPr>
        <w:ind w:firstLine="31680" w:firstLineChars="200"/>
        <w:rPr>
          <w:rFonts w:hint="eastAsia" w:ascii="仿宋" w:hAnsi="仿宋" w:eastAsia="仿宋" w:cs="仿宋"/>
          <w:sz w:val="30"/>
          <w:szCs w:val="30"/>
        </w:rPr>
      </w:pPr>
      <w:r>
        <w:rPr>
          <w:rFonts w:hint="eastAsia" w:ascii="仿宋" w:hAnsi="仿宋" w:eastAsia="仿宋" w:cs="仿宋"/>
          <w:sz w:val="30"/>
          <w:szCs w:val="30"/>
        </w:rPr>
        <w:t>1、办公费反映高等学校购买依照财务会计制度规定无法确认为固定资产的日常办公用品、书报杂志及小额零星印刷费等支出，分为办公用品、书报杂志。</w:t>
      </w:r>
    </w:p>
    <w:p>
      <w:pPr>
        <w:ind w:firstLine="31680" w:firstLineChars="200"/>
        <w:rPr>
          <w:rFonts w:hint="eastAsia" w:ascii="仿宋" w:hAnsi="仿宋" w:eastAsia="仿宋" w:cs="仿宋"/>
          <w:sz w:val="30"/>
          <w:szCs w:val="30"/>
        </w:rPr>
      </w:pPr>
      <w:r>
        <w:rPr>
          <w:rFonts w:hint="eastAsia" w:ascii="仿宋" w:hAnsi="仿宋" w:eastAsia="仿宋" w:cs="仿宋"/>
          <w:sz w:val="30"/>
          <w:szCs w:val="30"/>
        </w:rPr>
        <w:t>办公用品主要指行政部门硒鼓、墨盒、色带、笔、笔记本等办公必备物品。书报杂志指行政部门购买的资料、报刊、杂志等。</w:t>
      </w:r>
    </w:p>
    <w:p>
      <w:pPr>
        <w:ind w:firstLine="31680" w:firstLineChars="200"/>
        <w:rPr>
          <w:rFonts w:hint="eastAsia" w:ascii="仿宋" w:hAnsi="仿宋" w:eastAsia="仿宋" w:cs="仿宋"/>
          <w:sz w:val="30"/>
          <w:szCs w:val="30"/>
        </w:rPr>
      </w:pPr>
      <w:r>
        <w:rPr>
          <w:rFonts w:hint="eastAsia" w:ascii="仿宋" w:hAnsi="仿宋" w:eastAsia="仿宋" w:cs="仿宋"/>
          <w:sz w:val="32"/>
          <w:szCs w:val="32"/>
        </w:rPr>
        <w:t>2、专用材料费反映单位购置并依照规定不纳入固定资产管理范围且具有专门用途的材料支出，如实验用品及小型设备，专用服装及劳保用品、消耗性体育用品，消防器材，医疗器材，专用工具和仪器，艺术部门专用材料和用品、文艺宣传用品等。专用材料费包括实验室用品、劳保用品、体育用品和其他用品。</w:t>
      </w:r>
    </w:p>
    <w:p>
      <w:pPr>
        <w:ind w:firstLine="31680" w:firstLineChars="200"/>
        <w:rPr>
          <w:rFonts w:hint="eastAsia" w:ascii="楷体" w:hAnsi="楷体" w:eastAsia="楷体" w:cs="楷体"/>
          <w:color w:val="auto"/>
          <w:sz w:val="30"/>
          <w:szCs w:val="30"/>
        </w:rPr>
      </w:pPr>
      <w:r>
        <w:rPr>
          <w:rFonts w:hint="eastAsia" w:ascii="仿宋" w:hAnsi="仿宋" w:eastAsia="仿宋" w:cs="仿宋"/>
          <w:color w:val="auto"/>
          <w:sz w:val="30"/>
          <w:szCs w:val="30"/>
        </w:rPr>
        <w:t>学院经费、各种预算计划安排的项目以及横纵向科研项目购买的的办公用品以及教学用书、资料、报刊、杂志等报销在专用材料中列支。</w:t>
      </w:r>
    </w:p>
    <w:p>
      <w:pPr>
        <w:ind w:firstLine="31680" w:firstLineChars="200"/>
        <w:rPr>
          <w:rFonts w:hint="eastAsia" w:ascii="仿宋" w:hAnsi="仿宋" w:eastAsia="仿宋" w:cs="仿宋"/>
          <w:sz w:val="32"/>
          <w:szCs w:val="32"/>
        </w:rPr>
      </w:pPr>
      <w:r>
        <w:rPr>
          <w:rFonts w:hint="eastAsia" w:ascii="仿宋" w:hAnsi="仿宋" w:eastAsia="仿宋" w:cs="仿宋"/>
          <w:sz w:val="32"/>
          <w:szCs w:val="32"/>
        </w:rPr>
        <w:t>3、办公用品、计算机耗材、小型办公设备仪器一般不得从外地或大型超市购买，要从专业经营公司（商店）购买。从外地或大型超市购买、应招标采购而没有招标采购且未经事前批准的，一般不予报销。特殊情况，需事前申请，经所在单位、资产管理处及计划财务处同意后，附“山东理工大学特殊情况结算审批表”方可报销有关费用。</w:t>
      </w:r>
    </w:p>
    <w:p>
      <w:pPr>
        <w:keepNext w:val="0"/>
        <w:keepLines w:val="0"/>
        <w:pageBreakBefore w:val="0"/>
        <w:kinsoku/>
        <w:wordWrap/>
        <w:overflowPunct/>
        <w:topLinePunct w:val="0"/>
        <w:autoSpaceDE/>
        <w:autoSpaceDN/>
        <w:bidi w:val="0"/>
        <w:spacing w:line="360" w:lineRule="auto"/>
        <w:ind w:left="0" w:leftChars="0" w:right="0" w:rightChars="0" w:firstLine="56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4、购买</w:t>
      </w:r>
      <w:r>
        <w:rPr>
          <w:rFonts w:hint="eastAsia" w:ascii="仿宋" w:hAnsi="仿宋" w:eastAsia="仿宋" w:cs="仿宋"/>
          <w:kern w:val="0"/>
          <w:sz w:val="30"/>
          <w:szCs w:val="30"/>
        </w:rPr>
        <w:t>办公用品、专用材料的发票内容不能为笼统名称，如办公用品、耗材等，应写明实物具体名称、单价、数量、金额等要素。</w:t>
      </w:r>
      <w:r>
        <w:rPr>
          <w:rFonts w:hint="eastAsia" w:ascii="仿宋" w:hAnsi="仿宋" w:eastAsia="仿宋" w:cs="仿宋"/>
          <w:sz w:val="30"/>
          <w:szCs w:val="30"/>
        </w:rPr>
        <w:t>使用定额发票报销或发票内容为办公用品、计算机耗材、电子元器件、图书等情况，在实体商户购买，应要求提供加盖收款单位印章的商品明细清单，若在网络商户购买，则应附交易界面截图。</w:t>
      </w:r>
    </w:p>
    <w:p>
      <w:pPr>
        <w:ind w:firstLine="570"/>
        <w:jc w:val="left"/>
        <w:rPr>
          <w:rFonts w:hint="eastAsia" w:ascii="宋体" w:hAnsi="宋体" w:cs="宋体"/>
          <w:b/>
          <w:bCs/>
          <w:sz w:val="32"/>
          <w:szCs w:val="32"/>
        </w:rPr>
      </w:pPr>
      <w:r>
        <w:rPr>
          <w:rFonts w:hint="eastAsia" w:ascii="宋体" w:hAnsi="宋体" w:cs="宋体"/>
          <w:b/>
          <w:bCs/>
          <w:sz w:val="32"/>
          <w:szCs w:val="32"/>
        </w:rPr>
        <w:t>二、印刷费</w:t>
      </w:r>
    </w:p>
    <w:p>
      <w:pPr>
        <w:ind w:firstLine="31680" w:firstLineChars="200"/>
        <w:rPr>
          <w:rFonts w:ascii="仿宋" w:hAnsi="仿宋" w:eastAsia="仿宋" w:cs="Times New Roman"/>
          <w:color w:val="auto"/>
          <w:sz w:val="30"/>
          <w:szCs w:val="30"/>
        </w:rPr>
      </w:pPr>
      <w:r>
        <w:rPr>
          <w:rFonts w:hint="eastAsia" w:ascii="仿宋" w:hAnsi="仿宋" w:eastAsia="仿宋" w:cs="仿宋"/>
          <w:color w:val="auto"/>
          <w:sz w:val="30"/>
          <w:szCs w:val="30"/>
        </w:rPr>
        <w:t>印刷费反映单位开支的大宗印刷费支出，包括印刷费和版面费、出版费。</w:t>
      </w:r>
    </w:p>
    <w:p>
      <w:pPr>
        <w:ind w:firstLine="31680" w:firstLineChars="200"/>
        <w:rPr>
          <w:rFonts w:ascii="仿宋" w:hAnsi="仿宋" w:eastAsia="仿宋" w:cs="Times New Roman"/>
          <w:color w:val="auto"/>
          <w:sz w:val="32"/>
          <w:szCs w:val="32"/>
        </w:rPr>
      </w:pPr>
      <w:r>
        <w:rPr>
          <w:rFonts w:hint="eastAsia" w:ascii="仿宋" w:hAnsi="仿宋" w:eastAsia="仿宋" w:cs="仿宋"/>
          <w:color w:val="auto"/>
          <w:sz w:val="30"/>
          <w:szCs w:val="30"/>
        </w:rPr>
        <w:t>印刷费指打印费、复印费、装订费、展板制作费</w:t>
      </w:r>
      <w:r>
        <w:rPr>
          <w:rFonts w:hint="eastAsia" w:ascii="仿宋" w:hAnsi="仿宋" w:eastAsia="仿宋" w:cs="仿宋"/>
          <w:color w:val="auto"/>
          <w:sz w:val="30"/>
          <w:szCs w:val="30"/>
          <w:lang w:eastAsia="zh-CN"/>
        </w:rPr>
        <w:t>、冲扩费</w:t>
      </w:r>
      <w:r>
        <w:rPr>
          <w:rFonts w:hint="eastAsia" w:ascii="仿宋" w:hAnsi="仿宋" w:eastAsia="仿宋" w:cs="仿宋"/>
          <w:color w:val="auto"/>
          <w:sz w:val="30"/>
          <w:szCs w:val="30"/>
        </w:rPr>
        <w:t>等，</w:t>
      </w:r>
      <w:r>
        <w:rPr>
          <w:rFonts w:hint="eastAsia" w:ascii="仿宋" w:hAnsi="仿宋" w:eastAsia="仿宋" w:cs="仿宋"/>
          <w:color w:val="auto"/>
          <w:sz w:val="32"/>
          <w:szCs w:val="32"/>
        </w:rPr>
        <w:t>印刷费报销单次金额在</w:t>
      </w:r>
      <w:r>
        <w:rPr>
          <w:rFonts w:hint="eastAsia" w:ascii="仿宋" w:hAnsi="仿宋" w:eastAsia="仿宋" w:cs="仿宋"/>
          <w:color w:val="auto"/>
          <w:sz w:val="32"/>
          <w:szCs w:val="32"/>
          <w:lang w:val="en-US" w:eastAsia="zh-CN"/>
        </w:rPr>
        <w:t>10</w:t>
      </w:r>
      <w:r>
        <w:rPr>
          <w:rFonts w:ascii="仿宋" w:hAnsi="仿宋" w:eastAsia="仿宋" w:cs="仿宋"/>
          <w:color w:val="auto"/>
          <w:sz w:val="32"/>
          <w:szCs w:val="32"/>
        </w:rPr>
        <w:t>00</w:t>
      </w:r>
      <w:r>
        <w:rPr>
          <w:rFonts w:hint="eastAsia" w:ascii="仿宋" w:hAnsi="仿宋" w:eastAsia="仿宋" w:cs="仿宋"/>
          <w:color w:val="auto"/>
          <w:sz w:val="32"/>
          <w:szCs w:val="32"/>
        </w:rPr>
        <w:t>元（含）以上须提供印刷单位盖章的明细，单次</w:t>
      </w:r>
      <w:r>
        <w:rPr>
          <w:rFonts w:ascii="仿宋" w:hAnsi="仿宋" w:eastAsia="仿宋" w:cs="仿宋"/>
          <w:color w:val="auto"/>
          <w:sz w:val="32"/>
          <w:szCs w:val="32"/>
        </w:rPr>
        <w:t>10000</w:t>
      </w:r>
      <w:r>
        <w:rPr>
          <w:rFonts w:hint="eastAsia" w:ascii="仿宋" w:hAnsi="仿宋" w:eastAsia="仿宋" w:cs="仿宋"/>
          <w:color w:val="auto"/>
          <w:sz w:val="32"/>
          <w:szCs w:val="32"/>
        </w:rPr>
        <w:t>（含）元以上须提供与印刷单位签订的合同，应纳入招标采购的按照学校规定执行。</w:t>
      </w:r>
    </w:p>
    <w:p>
      <w:pPr>
        <w:ind w:firstLine="316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版面费包括在会议或期刊上发表论文、论文前期评审、论文检索查新等相关费用，包括境内版面费和境外版面费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境外版面费报销须提供支付记录、形式发票或收据、论文首页，外文材料需提供重点内容的简要翻译。</w:t>
      </w:r>
    </w:p>
    <w:p>
      <w:pPr>
        <w:ind w:firstLine="31680"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论文录用单位与发票开具单位不一致时，须提供相关说明材料。</w:t>
      </w:r>
    </w:p>
    <w:p>
      <w:pPr>
        <w:ind w:firstLine="570"/>
        <w:jc w:val="left"/>
        <w:rPr>
          <w:rFonts w:hint="eastAsia" w:ascii="宋体" w:hAnsi="宋体" w:cs="宋体"/>
          <w:b/>
          <w:bCs/>
          <w:sz w:val="32"/>
          <w:szCs w:val="32"/>
        </w:rPr>
      </w:pPr>
      <w:r>
        <w:rPr>
          <w:rFonts w:hint="eastAsia" w:ascii="宋体" w:hAnsi="宋体" w:cs="宋体"/>
          <w:b/>
          <w:bCs/>
          <w:sz w:val="32"/>
          <w:szCs w:val="32"/>
        </w:rPr>
        <w:t>三、邮电费</w:t>
      </w:r>
    </w:p>
    <w:p>
      <w:pPr>
        <w:ind w:firstLine="31680" w:firstLineChars="200"/>
        <w:rPr>
          <w:rFonts w:hint="eastAsia" w:ascii="仿宋" w:hAnsi="仿宋" w:eastAsia="仿宋" w:cs="仿宋"/>
          <w:sz w:val="32"/>
          <w:szCs w:val="32"/>
        </w:rPr>
      </w:pPr>
      <w:r>
        <w:rPr>
          <w:rFonts w:hint="eastAsia" w:ascii="仿宋" w:hAnsi="仿宋" w:eastAsia="仿宋" w:cs="仿宋"/>
          <w:sz w:val="32"/>
          <w:szCs w:val="32"/>
        </w:rPr>
        <w:t>邮电费反映单位开支的电话费、寄送信函、包裹及货物等物品所产生的邮寄费和网络通讯费等支出，包括电话费、网络信息费和其他费用。</w:t>
      </w:r>
    </w:p>
    <w:p>
      <w:pPr>
        <w:ind w:firstLine="31680" w:firstLineChars="200"/>
        <w:rPr>
          <w:rFonts w:hint="eastAsia" w:ascii="仿宋" w:hAnsi="仿宋" w:eastAsia="仿宋" w:cs="仿宋"/>
          <w:sz w:val="32"/>
          <w:szCs w:val="32"/>
        </w:rPr>
      </w:pPr>
      <w:r>
        <w:rPr>
          <w:rFonts w:hint="eastAsia" w:ascii="仿宋" w:hAnsi="仿宋" w:eastAsia="仿宋" w:cs="仿宋"/>
          <w:sz w:val="32"/>
          <w:szCs w:val="32"/>
        </w:rPr>
        <w:t>电话费包括学校办公电话费、移动电话费等。报销时，固定电话费发票付款单位应为“山东理工大学”或“山东理工大学xx单位”，移动电话费发票付款单位应为使用人姓名。电话费以电信运行商开具的正式发票为报销依据，不得以预存款收据报销。实行绩效工资制度后，不再发放电话补助。</w:t>
      </w:r>
    </w:p>
    <w:p>
      <w:pPr>
        <w:ind w:firstLine="31680" w:firstLineChars="200"/>
        <w:rPr>
          <w:rFonts w:hint="eastAsia" w:ascii="仿宋" w:hAnsi="仿宋" w:eastAsia="仿宋" w:cs="仿宋"/>
          <w:sz w:val="32"/>
          <w:szCs w:val="32"/>
        </w:rPr>
      </w:pPr>
      <w:r>
        <w:rPr>
          <w:rFonts w:hint="eastAsia" w:ascii="仿宋" w:hAnsi="仿宋" w:eastAsia="仿宋" w:cs="仿宋"/>
          <w:sz w:val="32"/>
          <w:szCs w:val="32"/>
        </w:rPr>
        <w:t>网络信息费包括信息费、网络费、域名费、电子邮箱管理费等网络通讯费用，网络信息费原则上由学校相关职能部门统筹。</w:t>
      </w:r>
    </w:p>
    <w:p>
      <w:pPr>
        <w:ind w:firstLine="31680" w:firstLineChars="200"/>
        <w:rPr>
          <w:rFonts w:hint="eastAsia" w:ascii="仿宋" w:hAnsi="仿宋" w:eastAsia="仿宋" w:cs="仿宋"/>
          <w:sz w:val="32"/>
          <w:szCs w:val="32"/>
        </w:rPr>
      </w:pPr>
      <w:r>
        <w:rPr>
          <w:rFonts w:hint="eastAsia" w:ascii="仿宋" w:hAnsi="仿宋" w:eastAsia="仿宋" w:cs="仿宋"/>
          <w:sz w:val="32"/>
          <w:szCs w:val="32"/>
        </w:rPr>
        <w:t>其他费用包括电报费、传真费及信函、包裹、货物等物品的邮寄费。</w:t>
      </w:r>
    </w:p>
    <w:p>
      <w:pPr>
        <w:ind w:firstLine="31680" w:firstLineChars="200"/>
        <w:rPr>
          <w:rFonts w:hint="eastAsia" w:ascii="楷体" w:hAnsi="楷体" w:eastAsia="楷体" w:cs="楷体"/>
          <w:b/>
          <w:bCs/>
          <w:sz w:val="32"/>
          <w:szCs w:val="32"/>
        </w:rPr>
      </w:pPr>
      <w:r>
        <w:rPr>
          <w:rFonts w:hint="eastAsia" w:ascii="楷体" w:hAnsi="楷体" w:eastAsia="楷体" w:cs="楷体"/>
          <w:b/>
          <w:bCs/>
          <w:sz w:val="32"/>
          <w:szCs w:val="32"/>
        </w:rPr>
        <w:t>学校预算安排的专</w:t>
      </w:r>
      <w:r>
        <w:rPr>
          <w:rFonts w:hint="eastAsia" w:ascii="楷体" w:hAnsi="楷体" w:eastAsia="楷体" w:cs="楷体"/>
          <w:b/>
          <w:bCs/>
          <w:color w:val="000000"/>
          <w:sz w:val="32"/>
          <w:szCs w:val="32"/>
        </w:rPr>
        <w:t>项经费项目原则上不得报销日常办公使用的移动电话、固定电话、网络通讯等费用。</w:t>
      </w:r>
    </w:p>
    <w:p>
      <w:pPr>
        <w:ind w:firstLine="570"/>
        <w:jc w:val="left"/>
        <w:rPr>
          <w:rFonts w:hint="eastAsia" w:ascii="宋体" w:hAnsi="宋体" w:cs="宋体"/>
          <w:b/>
          <w:bCs/>
          <w:sz w:val="32"/>
          <w:szCs w:val="32"/>
        </w:rPr>
      </w:pPr>
      <w:r>
        <w:rPr>
          <w:rFonts w:hint="eastAsia" w:ascii="宋体" w:hAnsi="宋体" w:cs="宋体"/>
          <w:b/>
          <w:bCs/>
          <w:sz w:val="32"/>
          <w:szCs w:val="32"/>
        </w:rPr>
        <w:t>四、交通费</w:t>
      </w:r>
    </w:p>
    <w:p>
      <w:pPr>
        <w:ind w:firstLine="31680" w:firstLineChars="200"/>
        <w:rPr>
          <w:rFonts w:hint="eastAsia" w:ascii="仿宋" w:hAnsi="仿宋" w:eastAsia="仿宋" w:cs="仿宋"/>
          <w:sz w:val="32"/>
          <w:szCs w:val="32"/>
        </w:rPr>
      </w:pPr>
      <w:r>
        <w:rPr>
          <w:rFonts w:hint="eastAsia" w:ascii="仿宋" w:hAnsi="仿宋" w:eastAsia="仿宋" w:cs="仿宋"/>
          <w:sz w:val="32"/>
          <w:szCs w:val="32"/>
        </w:rPr>
        <w:t>交通费反映单位开支的车辆用燃料费、车辆保险费、车辆保养修理费、租车费、过桥过路费等支出。学校公务用车运行费用列入“公车运行费用”，其他车辆运行费用列入“其他交通费”核算。</w:t>
      </w:r>
    </w:p>
    <w:p>
      <w:pPr>
        <w:ind w:firstLine="31680" w:firstLineChars="200"/>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因特殊情况确需驾驶本人车辆出行的，外地汽油费、过桥过路费按照差旅费办法报销，不允许单独报销外地汽油费、过桥过路费。本地汽油费报销时要在原始票据上注明“因什么工作任务”而发生，且报销人和经费审批人签字后方可报销。</w:t>
      </w:r>
    </w:p>
    <w:p>
      <w:pPr>
        <w:ind w:firstLine="31680" w:firstLineChars="200"/>
        <w:rPr>
          <w:rFonts w:hint="eastAsia" w:ascii="仿宋" w:hAnsi="仿宋" w:eastAsia="仿宋" w:cs="仿宋"/>
          <w:sz w:val="32"/>
          <w:szCs w:val="32"/>
        </w:rPr>
      </w:pPr>
      <w:r>
        <w:rPr>
          <w:rFonts w:hint="eastAsia" w:ascii="仿宋" w:hAnsi="仿宋" w:eastAsia="仿宋" w:cs="仿宋"/>
          <w:sz w:val="32"/>
          <w:szCs w:val="32"/>
        </w:rPr>
        <w:t>本地校外联系工作和进行其他公务活动乘坐出租车、公共交通工具或租用车辆的，要在原始票据或支出汇总单上注明“因什么工作任务”而发生，且报销人和经费审批人签字后方可报销。</w:t>
      </w:r>
    </w:p>
    <w:p>
      <w:pPr>
        <w:ind w:firstLine="31680" w:firstLineChars="200"/>
        <w:rPr>
          <w:rFonts w:hint="eastAsia" w:ascii="仿宋" w:hAnsi="仿宋" w:eastAsia="仿宋" w:cs="仿宋"/>
          <w:sz w:val="32"/>
          <w:szCs w:val="32"/>
        </w:rPr>
      </w:pPr>
      <w:r>
        <w:rPr>
          <w:rFonts w:hint="eastAsia" w:ascii="仿宋" w:hAnsi="仿宋" w:eastAsia="仿宋" w:cs="仿宋"/>
          <w:sz w:val="32"/>
          <w:szCs w:val="32"/>
        </w:rPr>
        <w:t>因公务活动确需租用车辆的，凭印有税务监制章的租车费发票、车辆租赁合同（1万元以上）及《用车明细统计表》报销租车费。租车费一律使用公务卡结算或转账结算，不得使用现金结算。</w:t>
      </w:r>
    </w:p>
    <w:p>
      <w:pPr>
        <w:ind w:firstLine="31680" w:firstLineChars="200"/>
        <w:rPr>
          <w:rFonts w:hint="eastAsia" w:ascii="楷体" w:hAnsi="楷体" w:eastAsia="楷体" w:cs="楷体"/>
          <w:b/>
          <w:bCs/>
          <w:sz w:val="30"/>
          <w:szCs w:val="30"/>
        </w:rPr>
      </w:pPr>
      <w:r>
        <w:rPr>
          <w:rFonts w:hint="eastAsia" w:ascii="楷体" w:hAnsi="楷体" w:eastAsia="楷体" w:cs="楷体"/>
          <w:b/>
          <w:bCs/>
          <w:sz w:val="30"/>
          <w:szCs w:val="30"/>
        </w:rPr>
        <w:t>特别提示：</w:t>
      </w:r>
    </w:p>
    <w:p>
      <w:pPr>
        <w:ind w:firstLine="31680" w:firstLineChars="200"/>
        <w:rPr>
          <w:rFonts w:hint="eastAsia" w:ascii="楷体" w:hAnsi="楷体" w:eastAsia="楷体" w:cs="楷体"/>
          <w:b/>
          <w:bCs/>
          <w:sz w:val="30"/>
          <w:szCs w:val="30"/>
        </w:rPr>
      </w:pPr>
      <w:r>
        <w:rPr>
          <w:rFonts w:hint="eastAsia" w:ascii="楷体" w:hAnsi="楷体" w:eastAsia="楷体" w:cs="楷体"/>
          <w:b/>
          <w:bCs/>
          <w:sz w:val="30"/>
          <w:szCs w:val="30"/>
        </w:rPr>
        <w:t>1、科研人员应严格按照预算批复的支出范围和标准使用经费，与项目研究无关的费用不得列支（包括私人车辆的保险、ETC、车辆维修等）。</w:t>
      </w:r>
    </w:p>
    <w:p>
      <w:pPr>
        <w:ind w:firstLine="31680" w:firstLineChars="200"/>
        <w:rPr>
          <w:rFonts w:ascii="??_GB2312" w:hAnsi="??_GB2312" w:eastAsia="Times New Roman" w:cs="Times New Roman"/>
          <w:sz w:val="30"/>
          <w:szCs w:val="30"/>
        </w:rPr>
      </w:pPr>
      <w:r>
        <w:rPr>
          <w:rFonts w:hint="eastAsia" w:ascii="楷体" w:hAnsi="楷体" w:eastAsia="楷体" w:cs="楷体"/>
          <w:b/>
          <w:bCs/>
          <w:sz w:val="30"/>
          <w:szCs w:val="30"/>
        </w:rPr>
        <w:t>2、租用社会车辆要取得具有税务监制章的租车费发票，不得以汽油、车辆维修、补充客票等抵顶租车费发票。</w:t>
      </w:r>
    </w:p>
    <w:p>
      <w:pPr>
        <w:ind w:firstLine="570"/>
        <w:jc w:val="left"/>
        <w:rPr>
          <w:rFonts w:hint="eastAsia" w:ascii="宋体" w:hAnsi="宋体" w:cs="宋体"/>
          <w:b/>
          <w:bCs/>
          <w:sz w:val="32"/>
          <w:szCs w:val="32"/>
        </w:rPr>
      </w:pPr>
      <w:r>
        <w:rPr>
          <w:rFonts w:hint="eastAsia" w:ascii="宋体" w:hAnsi="宋体" w:cs="宋体"/>
          <w:b/>
          <w:bCs/>
          <w:sz w:val="32"/>
          <w:szCs w:val="32"/>
        </w:rPr>
        <w:t>五、差旅费</w:t>
      </w:r>
    </w:p>
    <w:p>
      <w:pPr>
        <w:widowControl/>
        <w:shd w:val="clear" w:color="auto" w:fill="FFFFFF"/>
        <w:spacing w:line="560" w:lineRule="exact"/>
        <w:ind w:firstLine="31680" w:firstLineChars="200"/>
        <w:jc w:val="left"/>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差旅费是指我校工作人员临时到张店城区以外地区公务出差所发生的城市间交通费、住宿费、伙食补助费和市内交通费等。</w:t>
      </w:r>
    </w:p>
    <w:p>
      <w:pPr>
        <w:pStyle w:val="4"/>
        <w:widowControl/>
        <w:shd w:val="clear" w:color="auto" w:fill="FFFFFF"/>
        <w:spacing w:before="0" w:beforeAutospacing="0" w:after="0" w:afterAutospacing="0" w:line="560" w:lineRule="exact"/>
        <w:ind w:firstLine="645"/>
        <w:rPr>
          <w:rFonts w:hint="eastAsia" w:ascii="仿宋" w:hAnsi="仿宋" w:eastAsia="仿宋" w:cs="仿宋"/>
          <w:b w:val="0"/>
          <w:bCs w:val="0"/>
          <w:color w:val="auto"/>
          <w:sz w:val="32"/>
          <w:szCs w:val="32"/>
          <w:shd w:val="clear" w:color="auto" w:fill="FFFFFF"/>
        </w:rPr>
      </w:pPr>
      <w:r>
        <w:rPr>
          <w:rFonts w:hint="eastAsia" w:ascii="仿宋" w:hAnsi="仿宋" w:eastAsia="仿宋" w:cs="仿宋"/>
          <w:b w:val="0"/>
          <w:bCs w:val="0"/>
          <w:color w:val="auto"/>
          <w:sz w:val="32"/>
          <w:szCs w:val="32"/>
          <w:shd w:val="clear" w:color="auto" w:fill="FFFFFF"/>
        </w:rPr>
        <w:t>出差前需依据</w:t>
      </w:r>
      <w:r>
        <w:rPr>
          <w:rFonts w:hint="eastAsia" w:ascii="仿宋" w:hAnsi="仿宋" w:eastAsia="仿宋" w:cs="仿宋"/>
          <w:b w:val="0"/>
          <w:bCs w:val="0"/>
          <w:color w:val="auto"/>
          <w:sz w:val="32"/>
          <w:szCs w:val="32"/>
        </w:rPr>
        <w:t>《山东理工大学差旅费管理办法》、《山东理工大学处级以上领导干部请销假制度》和《山东理工大学教职工考勤管理办法》规定填写</w:t>
      </w:r>
      <w:r>
        <w:rPr>
          <w:rFonts w:hint="eastAsia" w:ascii="仿宋" w:hAnsi="仿宋" w:eastAsia="仿宋" w:cs="仿宋"/>
          <w:b w:val="0"/>
          <w:bCs w:val="0"/>
          <w:color w:val="auto"/>
          <w:sz w:val="32"/>
          <w:szCs w:val="32"/>
          <w:shd w:val="clear" w:color="auto" w:fill="FFFFFF"/>
        </w:rPr>
        <w:t>《山东理工大学教职工公出请假表》，</w:t>
      </w:r>
      <w:r>
        <w:rPr>
          <w:rFonts w:hint="eastAsia" w:ascii="仿宋" w:hAnsi="仿宋" w:eastAsia="仿宋" w:cs="仿宋"/>
          <w:b w:val="0"/>
          <w:bCs w:val="0"/>
          <w:color w:val="auto"/>
          <w:sz w:val="32"/>
          <w:szCs w:val="32"/>
        </w:rPr>
        <w:t>办理</w:t>
      </w:r>
      <w:r>
        <w:rPr>
          <w:rFonts w:hint="eastAsia" w:ascii="仿宋" w:hAnsi="仿宋" w:eastAsia="仿宋" w:cs="仿宋"/>
          <w:b w:val="0"/>
          <w:bCs w:val="0"/>
          <w:color w:val="auto"/>
          <w:sz w:val="32"/>
          <w:szCs w:val="32"/>
          <w:shd w:val="clear" w:color="auto" w:fill="FFFFFF"/>
        </w:rPr>
        <w:t>出差事项的批准，不论寒暑假期、国家节假日、休息日公务出差均应按规定办理审批手续。</w:t>
      </w:r>
    </w:p>
    <w:p>
      <w:pPr>
        <w:widowControl/>
        <w:shd w:val="clear" w:color="auto" w:fill="FFFFFF"/>
        <w:spacing w:line="560" w:lineRule="exact"/>
        <w:ind w:firstLine="31680" w:firstLineChars="200"/>
        <w:jc w:val="left"/>
        <w:rPr>
          <w:rFonts w:hint="eastAsia" w:ascii="仿宋" w:hAnsi="仿宋" w:eastAsia="仿宋" w:cs="仿宋"/>
          <w:b w:val="0"/>
          <w:bCs w:val="0"/>
          <w:color w:val="auto"/>
          <w:kern w:val="0"/>
          <w:sz w:val="32"/>
          <w:szCs w:val="32"/>
          <w:shd w:val="clear" w:color="auto" w:fill="FFFFFF"/>
        </w:rPr>
      </w:pPr>
      <w:r>
        <w:rPr>
          <w:rFonts w:hint="eastAsia" w:ascii="仿宋" w:hAnsi="仿宋" w:eastAsia="仿宋" w:cs="仿宋"/>
          <w:b w:val="0"/>
          <w:bCs w:val="0"/>
          <w:color w:val="auto"/>
          <w:kern w:val="0"/>
          <w:sz w:val="32"/>
          <w:szCs w:val="32"/>
          <w:shd w:val="clear" w:color="auto" w:fill="FFFFFF"/>
        </w:rPr>
        <w:t>差旅费报销使用“山东理工大学差旅费报销单”，将出差补助及费用等内容填写齐全，附《山东理工大学教职工公出请假表》及有关</w:t>
      </w:r>
      <w:r>
        <w:rPr>
          <w:rFonts w:hint="eastAsia" w:ascii="仿宋" w:hAnsi="仿宋" w:eastAsia="仿宋" w:cs="仿宋"/>
          <w:b w:val="0"/>
          <w:bCs w:val="0"/>
          <w:color w:val="auto"/>
          <w:sz w:val="32"/>
          <w:szCs w:val="32"/>
          <w:shd w:val="clear" w:color="auto" w:fill="FFFFFF"/>
        </w:rPr>
        <w:t>机票、车票、住宿费发票等凭证</w:t>
      </w:r>
      <w:r>
        <w:rPr>
          <w:rFonts w:hint="eastAsia" w:ascii="仿宋" w:hAnsi="仿宋" w:eastAsia="仿宋" w:cs="仿宋"/>
          <w:b w:val="0"/>
          <w:bCs w:val="0"/>
          <w:color w:val="auto"/>
          <w:kern w:val="0"/>
          <w:sz w:val="32"/>
          <w:szCs w:val="32"/>
          <w:shd w:val="clear" w:color="auto" w:fill="FFFFFF"/>
        </w:rPr>
        <w:t>，按规定程序签字审批办理报销。</w:t>
      </w:r>
    </w:p>
    <w:p>
      <w:pPr>
        <w:widowControl/>
        <w:shd w:val="clear" w:color="auto" w:fill="FFFFFF"/>
        <w:spacing w:line="560" w:lineRule="exact"/>
        <w:jc w:val="left"/>
        <w:rPr>
          <w:rFonts w:hint="eastAsia" w:ascii="仿宋" w:hAnsi="仿宋" w:eastAsia="仿宋" w:cs="仿宋"/>
          <w:sz w:val="32"/>
          <w:szCs w:val="32"/>
          <w:shd w:val="clear" w:color="auto" w:fill="FFFFFF"/>
        </w:rPr>
      </w:pPr>
      <w:r>
        <w:rPr>
          <w:rFonts w:hint="eastAsia" w:ascii="仿宋" w:hAnsi="仿宋" w:eastAsia="仿宋" w:cs="仿宋"/>
          <w:sz w:val="32"/>
          <w:szCs w:val="32"/>
        </w:rPr>
        <w:t xml:space="preserve">    1、城市间交通费。出差人员应当按规定等级乘坐交通工具。乘坐交通工具的等级见下表：</w:t>
      </w:r>
    </w:p>
    <w:tbl>
      <w:tblPr>
        <w:tblStyle w:val="8"/>
        <w:tblW w:w="86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4"/>
        <w:gridCol w:w="2356"/>
        <w:gridCol w:w="1287"/>
        <w:gridCol w:w="964"/>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2" w:hRule="atLeast"/>
          <w:jc w:val="center"/>
        </w:trPr>
        <w:tc>
          <w:tcPr>
            <w:tcW w:w="2034" w:type="dxa"/>
          </w:tcPr>
          <w:p>
            <w:pPr>
              <w:widowControl/>
              <w:adjustRightInd w:val="0"/>
              <w:snapToGrid w:val="0"/>
              <w:spacing w:line="560" w:lineRule="exact"/>
              <w:jc w:val="center"/>
              <w:rPr>
                <w:rFonts w:ascii="??_GB2312" w:hAnsi="??_GB2312" w:eastAsia="Times New Roman" w:cs="Times New Roman"/>
                <w:kern w:val="0"/>
              </w:rPr>
            </w:pPr>
            <w:r>
              <w:rPr>
                <w:rFonts w:ascii="??_GB2312" w:hAnsi="??_GB2312" w:eastAsia="Times New Roman" w:cs="Times New Roman"/>
                <w:kern w:val="0"/>
              </w:rPr>
              <w:t xml:space="preserve"> </w:t>
            </w:r>
            <w:r>
              <w:rPr>
                <w:rFonts w:hint="eastAsia" w:ascii="宋体" w:hAnsi="宋体" w:cs="宋体"/>
                <w:kern w:val="0"/>
              </w:rPr>
              <w:t>交通工具</w:t>
            </w:r>
          </w:p>
          <w:p>
            <w:pPr>
              <w:widowControl/>
              <w:adjustRightInd w:val="0"/>
              <w:snapToGrid w:val="0"/>
              <w:spacing w:line="560" w:lineRule="exact"/>
              <w:ind w:firstLine="357"/>
              <w:jc w:val="center"/>
              <w:rPr>
                <w:rFonts w:ascii="??_GB2312" w:hAnsi="??_GB2312" w:eastAsia="Times New Roman" w:cs="Times New Roman"/>
              </w:rPr>
            </w:pPr>
            <w:r>
              <w:rPr>
                <w:rFonts w:ascii="??_GB2312" w:hAnsi="??_GB2312" w:eastAsia="Times New Roman" w:cs="Times New Roman"/>
                <w:kern w:val="0"/>
              </w:rPr>
              <w:t> </w:t>
            </w:r>
          </w:p>
          <w:p>
            <w:pPr>
              <w:widowControl/>
              <w:adjustRightInd w:val="0"/>
              <w:snapToGrid w:val="0"/>
              <w:spacing w:line="560" w:lineRule="exact"/>
              <w:ind w:firstLine="31680" w:firstLineChars="100"/>
              <w:jc w:val="left"/>
              <w:rPr>
                <w:rFonts w:ascii="??_GB2312" w:hAnsi="??_GB2312" w:eastAsia="Times New Roman" w:cs="Times New Roman"/>
              </w:rPr>
            </w:pPr>
            <w:r>
              <w:rPr>
                <w:rFonts w:ascii="??_GB2312" w:hAnsi="??_GB2312" w:eastAsia="Times New Roman" w:cs="Times New Roman"/>
                <w:kern w:val="0"/>
              </w:rPr>
              <w:t xml:space="preserve">   </w:t>
            </w:r>
            <w:r>
              <w:rPr>
                <w:rFonts w:hint="eastAsia" w:ascii="宋体" w:hAnsi="宋体" w:cs="宋体"/>
                <w:kern w:val="0"/>
              </w:rPr>
              <w:t>级别</w:t>
            </w:r>
          </w:p>
        </w:tc>
        <w:tc>
          <w:tcPr>
            <w:tcW w:w="2356" w:type="dxa"/>
            <w:vAlign w:val="center"/>
          </w:tcPr>
          <w:p>
            <w:pPr>
              <w:widowControl/>
              <w:adjustRightInd w:val="0"/>
              <w:snapToGrid w:val="0"/>
              <w:spacing w:line="560" w:lineRule="exact"/>
              <w:jc w:val="center"/>
              <w:rPr>
                <w:rFonts w:ascii="??_GB2312" w:hAnsi="??_GB2312" w:eastAsia="Times New Roman" w:cs="Times New Roman"/>
              </w:rPr>
            </w:pPr>
            <w:r>
              <w:rPr>
                <w:rFonts w:hint="eastAsia" w:ascii="宋体" w:hAnsi="宋体" w:cs="宋体"/>
                <w:kern w:val="0"/>
              </w:rPr>
              <w:t>火车（含高铁、动车、全列软席列车）</w:t>
            </w:r>
            <w:r>
              <w:rPr>
                <w:rFonts w:ascii="??_GB2312" w:hAnsi="??_GB2312" w:eastAsia="Times New Roman" w:cs="Times New Roman"/>
                <w:kern w:val="0"/>
              </w:rPr>
              <w:t xml:space="preserve"> </w:t>
            </w:r>
          </w:p>
        </w:tc>
        <w:tc>
          <w:tcPr>
            <w:tcW w:w="1287" w:type="dxa"/>
            <w:vAlign w:val="center"/>
          </w:tcPr>
          <w:p>
            <w:pPr>
              <w:widowControl/>
              <w:adjustRightInd w:val="0"/>
              <w:snapToGrid w:val="0"/>
              <w:spacing w:line="560" w:lineRule="exact"/>
              <w:jc w:val="center"/>
              <w:rPr>
                <w:rFonts w:ascii="??_GB2312" w:hAnsi="??_GB2312" w:eastAsia="Times New Roman" w:cs="Times New Roman"/>
              </w:rPr>
            </w:pPr>
            <w:r>
              <w:rPr>
                <w:rFonts w:hint="eastAsia" w:ascii="宋体" w:hAnsi="宋体" w:cs="宋体"/>
                <w:kern w:val="0"/>
              </w:rPr>
              <w:t>轮船（不包括旅游船）</w:t>
            </w:r>
          </w:p>
        </w:tc>
        <w:tc>
          <w:tcPr>
            <w:tcW w:w="964" w:type="dxa"/>
            <w:vAlign w:val="center"/>
          </w:tcPr>
          <w:p>
            <w:pPr>
              <w:widowControl/>
              <w:adjustRightInd w:val="0"/>
              <w:snapToGrid w:val="0"/>
              <w:spacing w:line="560" w:lineRule="exact"/>
              <w:jc w:val="center"/>
              <w:rPr>
                <w:rFonts w:ascii="??_GB2312" w:hAnsi="??_GB2312" w:eastAsia="Times New Roman" w:cs="Times New Roman"/>
              </w:rPr>
            </w:pPr>
            <w:r>
              <w:rPr>
                <w:rFonts w:hint="eastAsia" w:ascii="宋体" w:hAnsi="宋体" w:cs="宋体"/>
                <w:kern w:val="0"/>
              </w:rPr>
              <w:t>飞机</w:t>
            </w:r>
          </w:p>
        </w:tc>
        <w:tc>
          <w:tcPr>
            <w:tcW w:w="2039" w:type="dxa"/>
            <w:vAlign w:val="center"/>
          </w:tcPr>
          <w:p>
            <w:pPr>
              <w:widowControl/>
              <w:adjustRightInd w:val="0"/>
              <w:snapToGrid w:val="0"/>
              <w:spacing w:line="560" w:lineRule="exact"/>
              <w:jc w:val="center"/>
              <w:rPr>
                <w:rFonts w:ascii="??_GB2312" w:hAnsi="??_GB2312" w:eastAsia="Times New Roman" w:cs="Times New Roman"/>
              </w:rPr>
            </w:pPr>
            <w:r>
              <w:rPr>
                <w:rFonts w:hint="eastAsia" w:ascii="宋体" w:hAnsi="宋体" w:cs="宋体"/>
                <w:kern w:val="0"/>
              </w:rPr>
              <w:t>其他交通工具（不包括出租小汽车）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0" w:hRule="atLeast"/>
          <w:jc w:val="center"/>
        </w:trPr>
        <w:tc>
          <w:tcPr>
            <w:tcW w:w="2034" w:type="dxa"/>
            <w:vAlign w:val="center"/>
          </w:tcPr>
          <w:p>
            <w:pPr>
              <w:widowControl/>
              <w:adjustRightInd w:val="0"/>
              <w:snapToGrid w:val="0"/>
              <w:spacing w:line="560" w:lineRule="exact"/>
              <w:jc w:val="left"/>
              <w:rPr>
                <w:rFonts w:ascii="??_GB2312" w:hAnsi="??_GB2312" w:eastAsia="Times New Roman" w:cs="Times New Roman"/>
              </w:rPr>
            </w:pPr>
            <w:r>
              <w:rPr>
                <w:rFonts w:hint="eastAsia" w:ascii="宋体" w:hAnsi="宋体" w:cs="宋体"/>
                <w:kern w:val="0"/>
              </w:rPr>
              <w:t>校级领导、四级及以上专业技术人员</w:t>
            </w:r>
          </w:p>
        </w:tc>
        <w:tc>
          <w:tcPr>
            <w:tcW w:w="2356" w:type="dxa"/>
            <w:vAlign w:val="center"/>
          </w:tcPr>
          <w:p>
            <w:pPr>
              <w:widowControl/>
              <w:adjustRightInd w:val="0"/>
              <w:snapToGrid w:val="0"/>
              <w:spacing w:line="560" w:lineRule="exact"/>
              <w:jc w:val="left"/>
              <w:rPr>
                <w:rFonts w:ascii="??_GB2312" w:hAnsi="??_GB2312" w:eastAsia="Times New Roman" w:cs="Times New Roman"/>
              </w:rPr>
            </w:pPr>
            <w:r>
              <w:rPr>
                <w:rFonts w:hint="eastAsia" w:ascii="宋体" w:hAnsi="宋体" w:cs="宋体"/>
                <w:kern w:val="0"/>
              </w:rPr>
              <w:t>软席（软座、软卧）</w:t>
            </w:r>
            <w:r>
              <w:rPr>
                <w:rFonts w:ascii="??_GB2312" w:hAnsi="??_GB2312" w:eastAsia="Times New Roman" w:cs="Times New Roman"/>
                <w:kern w:val="0"/>
              </w:rPr>
              <w:t xml:space="preserve"> </w:t>
            </w:r>
          </w:p>
          <w:p>
            <w:pPr>
              <w:widowControl/>
              <w:adjustRightInd w:val="0"/>
              <w:snapToGrid w:val="0"/>
              <w:spacing w:line="560" w:lineRule="exact"/>
              <w:jc w:val="left"/>
              <w:rPr>
                <w:rFonts w:ascii="??_GB2312" w:hAnsi="??_GB2312" w:eastAsia="Times New Roman" w:cs="Times New Roman"/>
              </w:rPr>
            </w:pPr>
            <w:r>
              <w:rPr>
                <w:rFonts w:hint="eastAsia" w:ascii="宋体" w:hAnsi="宋体" w:cs="宋体"/>
                <w:kern w:val="0"/>
              </w:rPr>
              <w:t>高铁</w:t>
            </w:r>
            <w:r>
              <w:rPr>
                <w:rFonts w:ascii="??_GB2312" w:hAnsi="??_GB2312" w:eastAsia="Times New Roman" w:cs="Times New Roman"/>
                <w:kern w:val="0"/>
              </w:rPr>
              <w:t>/</w:t>
            </w:r>
            <w:r>
              <w:rPr>
                <w:rFonts w:hint="eastAsia" w:ascii="宋体" w:hAnsi="宋体" w:cs="宋体"/>
                <w:kern w:val="0"/>
              </w:rPr>
              <w:t>动车一等座，</w:t>
            </w:r>
            <w:r>
              <w:rPr>
                <w:rFonts w:ascii="??_GB2312" w:hAnsi="??_GB2312" w:eastAsia="Times New Roman" w:cs="Times New Roman"/>
                <w:kern w:val="0"/>
              </w:rPr>
              <w:t xml:space="preserve"> </w:t>
            </w:r>
          </w:p>
          <w:p>
            <w:pPr>
              <w:widowControl/>
              <w:adjustRightInd w:val="0"/>
              <w:snapToGrid w:val="0"/>
              <w:spacing w:line="560" w:lineRule="exact"/>
              <w:jc w:val="left"/>
              <w:rPr>
                <w:rFonts w:ascii="??_GB2312" w:hAnsi="??_GB2312" w:eastAsia="Times New Roman" w:cs="Times New Roman"/>
              </w:rPr>
            </w:pPr>
            <w:r>
              <w:rPr>
                <w:rFonts w:hint="eastAsia" w:ascii="宋体" w:hAnsi="宋体" w:cs="宋体"/>
                <w:kern w:val="0"/>
              </w:rPr>
              <w:t>全列软席列车一等软座</w:t>
            </w:r>
          </w:p>
        </w:tc>
        <w:tc>
          <w:tcPr>
            <w:tcW w:w="1287" w:type="dxa"/>
            <w:vAlign w:val="center"/>
          </w:tcPr>
          <w:p>
            <w:pPr>
              <w:widowControl/>
              <w:adjustRightInd w:val="0"/>
              <w:snapToGrid w:val="0"/>
              <w:spacing w:line="560" w:lineRule="exact"/>
              <w:jc w:val="center"/>
              <w:rPr>
                <w:rFonts w:ascii="??_GB2312" w:hAnsi="??_GB2312" w:eastAsia="Times New Roman" w:cs="Times New Roman"/>
              </w:rPr>
            </w:pPr>
            <w:r>
              <w:rPr>
                <w:rFonts w:hint="eastAsia" w:ascii="宋体" w:hAnsi="宋体" w:cs="宋体"/>
                <w:kern w:val="0"/>
              </w:rPr>
              <w:t>二等舱</w:t>
            </w:r>
          </w:p>
        </w:tc>
        <w:tc>
          <w:tcPr>
            <w:tcW w:w="964" w:type="dxa"/>
            <w:vAlign w:val="center"/>
          </w:tcPr>
          <w:p>
            <w:pPr>
              <w:widowControl/>
              <w:adjustRightInd w:val="0"/>
              <w:snapToGrid w:val="0"/>
              <w:spacing w:line="560" w:lineRule="exact"/>
              <w:jc w:val="center"/>
              <w:rPr>
                <w:rFonts w:ascii="??_GB2312" w:hAnsi="??_GB2312" w:eastAsia="Times New Roman" w:cs="Times New Roman"/>
              </w:rPr>
            </w:pPr>
            <w:r>
              <w:rPr>
                <w:rFonts w:hint="eastAsia" w:ascii="宋体" w:hAnsi="宋体" w:cs="宋体"/>
                <w:kern w:val="0"/>
              </w:rPr>
              <w:t>经济舱</w:t>
            </w:r>
          </w:p>
        </w:tc>
        <w:tc>
          <w:tcPr>
            <w:tcW w:w="2039" w:type="dxa"/>
            <w:vAlign w:val="center"/>
          </w:tcPr>
          <w:p>
            <w:pPr>
              <w:widowControl/>
              <w:adjustRightInd w:val="0"/>
              <w:snapToGrid w:val="0"/>
              <w:spacing w:line="560" w:lineRule="exact"/>
              <w:jc w:val="center"/>
              <w:rPr>
                <w:rFonts w:ascii="??_GB2312" w:hAnsi="??_GB2312" w:eastAsia="Times New Roman" w:cs="Times New Roman"/>
              </w:rPr>
            </w:pPr>
            <w:r>
              <w:rPr>
                <w:rFonts w:hint="eastAsia" w:ascii="宋体" w:hAnsi="宋体" w:cs="宋体"/>
                <w:kern w:val="0"/>
              </w:rPr>
              <w:t>凭据报销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8" w:hRule="atLeast"/>
          <w:jc w:val="center"/>
        </w:trPr>
        <w:tc>
          <w:tcPr>
            <w:tcW w:w="2034" w:type="dxa"/>
            <w:vAlign w:val="center"/>
          </w:tcPr>
          <w:p>
            <w:pPr>
              <w:widowControl/>
              <w:adjustRightInd w:val="0"/>
              <w:snapToGrid w:val="0"/>
              <w:spacing w:line="560" w:lineRule="exact"/>
              <w:jc w:val="center"/>
              <w:rPr>
                <w:rFonts w:ascii="??_GB2312" w:hAnsi="??_GB2312" w:eastAsia="Times New Roman" w:cs="Times New Roman"/>
              </w:rPr>
            </w:pPr>
            <w:r>
              <w:rPr>
                <w:rFonts w:hint="eastAsia" w:ascii="宋体" w:hAnsi="宋体" w:cs="宋体"/>
                <w:kern w:val="0"/>
              </w:rPr>
              <w:t>其余人员</w:t>
            </w:r>
          </w:p>
        </w:tc>
        <w:tc>
          <w:tcPr>
            <w:tcW w:w="2356" w:type="dxa"/>
            <w:vAlign w:val="center"/>
          </w:tcPr>
          <w:p>
            <w:pPr>
              <w:widowControl/>
              <w:adjustRightInd w:val="0"/>
              <w:snapToGrid w:val="0"/>
              <w:spacing w:line="560" w:lineRule="exact"/>
              <w:jc w:val="left"/>
              <w:rPr>
                <w:rFonts w:ascii="??_GB2312" w:hAnsi="??_GB2312" w:eastAsia="Times New Roman" w:cs="Times New Roman"/>
              </w:rPr>
            </w:pPr>
            <w:r>
              <w:rPr>
                <w:rFonts w:hint="eastAsia" w:ascii="宋体" w:hAnsi="宋体" w:cs="宋体"/>
                <w:kern w:val="0"/>
              </w:rPr>
              <w:t>硬席（硬座、硬卧）高铁</w:t>
            </w:r>
            <w:r>
              <w:rPr>
                <w:rFonts w:ascii="??_GB2312" w:hAnsi="??_GB2312" w:eastAsia="Times New Roman" w:cs="Times New Roman"/>
                <w:kern w:val="0"/>
              </w:rPr>
              <w:t>/</w:t>
            </w:r>
            <w:r>
              <w:rPr>
                <w:rFonts w:hint="eastAsia" w:ascii="宋体" w:hAnsi="宋体" w:cs="宋体"/>
                <w:kern w:val="0"/>
              </w:rPr>
              <w:t>动车二等座，</w:t>
            </w:r>
            <w:r>
              <w:rPr>
                <w:rFonts w:ascii="??_GB2312" w:hAnsi="??_GB2312" w:eastAsia="Times New Roman" w:cs="Times New Roman"/>
                <w:kern w:val="0"/>
              </w:rPr>
              <w:t xml:space="preserve"> </w:t>
            </w:r>
          </w:p>
          <w:p>
            <w:pPr>
              <w:widowControl/>
              <w:adjustRightInd w:val="0"/>
              <w:snapToGrid w:val="0"/>
              <w:spacing w:line="560" w:lineRule="exact"/>
              <w:jc w:val="left"/>
              <w:rPr>
                <w:rFonts w:ascii="??_GB2312" w:hAnsi="??_GB2312" w:eastAsia="Times New Roman" w:cs="Times New Roman"/>
              </w:rPr>
            </w:pPr>
            <w:r>
              <w:rPr>
                <w:rFonts w:hint="eastAsia" w:ascii="宋体" w:hAnsi="宋体" w:cs="宋体"/>
                <w:kern w:val="0"/>
              </w:rPr>
              <w:t>全列软席列车二等软座</w:t>
            </w:r>
          </w:p>
        </w:tc>
        <w:tc>
          <w:tcPr>
            <w:tcW w:w="1287" w:type="dxa"/>
            <w:vAlign w:val="center"/>
          </w:tcPr>
          <w:p>
            <w:pPr>
              <w:widowControl/>
              <w:adjustRightInd w:val="0"/>
              <w:snapToGrid w:val="0"/>
              <w:spacing w:line="560" w:lineRule="exact"/>
              <w:jc w:val="center"/>
              <w:rPr>
                <w:rFonts w:ascii="??_GB2312" w:hAnsi="??_GB2312" w:eastAsia="Times New Roman" w:cs="Times New Roman"/>
              </w:rPr>
            </w:pPr>
            <w:r>
              <w:rPr>
                <w:rFonts w:hint="eastAsia" w:ascii="宋体" w:hAnsi="宋体" w:cs="宋体"/>
                <w:kern w:val="0"/>
              </w:rPr>
              <w:t>三等舱</w:t>
            </w:r>
          </w:p>
        </w:tc>
        <w:tc>
          <w:tcPr>
            <w:tcW w:w="964" w:type="dxa"/>
            <w:vAlign w:val="center"/>
          </w:tcPr>
          <w:p>
            <w:pPr>
              <w:widowControl/>
              <w:adjustRightInd w:val="0"/>
              <w:snapToGrid w:val="0"/>
              <w:spacing w:line="560" w:lineRule="exact"/>
              <w:jc w:val="center"/>
              <w:rPr>
                <w:rFonts w:ascii="??_GB2312" w:hAnsi="??_GB2312" w:eastAsia="Times New Roman" w:cs="Times New Roman"/>
              </w:rPr>
            </w:pPr>
            <w:r>
              <w:rPr>
                <w:rFonts w:hint="eastAsia" w:ascii="宋体" w:hAnsi="宋体" w:cs="宋体"/>
                <w:kern w:val="0"/>
              </w:rPr>
              <w:t>经济舱</w:t>
            </w:r>
          </w:p>
        </w:tc>
        <w:tc>
          <w:tcPr>
            <w:tcW w:w="2039" w:type="dxa"/>
            <w:vAlign w:val="center"/>
          </w:tcPr>
          <w:p>
            <w:pPr>
              <w:widowControl/>
              <w:adjustRightInd w:val="0"/>
              <w:snapToGrid w:val="0"/>
              <w:spacing w:line="560" w:lineRule="exact"/>
              <w:jc w:val="center"/>
              <w:rPr>
                <w:rFonts w:ascii="??_GB2312" w:hAnsi="??_GB2312" w:eastAsia="Times New Roman" w:cs="Times New Roman"/>
              </w:rPr>
            </w:pPr>
            <w:r>
              <w:rPr>
                <w:rFonts w:hint="eastAsia" w:ascii="宋体" w:hAnsi="宋体" w:cs="宋体"/>
                <w:kern w:val="0"/>
              </w:rPr>
              <w:t>凭据报销</w:t>
            </w:r>
          </w:p>
        </w:tc>
      </w:tr>
    </w:tbl>
    <w:p>
      <w:pPr>
        <w:widowControl/>
        <w:shd w:val="clear" w:color="auto" w:fill="FFFFFF"/>
        <w:spacing w:line="560" w:lineRule="exact"/>
        <w:ind w:firstLine="31680" w:firstLineChars="200"/>
        <w:jc w:val="left"/>
        <w:rPr>
          <w:rFonts w:hint="eastAsia" w:ascii="楷体" w:hAnsi="楷体" w:eastAsia="楷体" w:cs="楷体"/>
          <w:b/>
          <w:bCs/>
          <w:sz w:val="30"/>
          <w:szCs w:val="30"/>
          <w:shd w:val="clear" w:color="auto" w:fill="FFFFFF"/>
        </w:rPr>
      </w:pPr>
      <w:r>
        <w:rPr>
          <w:rFonts w:hint="eastAsia" w:ascii="楷体" w:hAnsi="楷体" w:eastAsia="楷体" w:cs="楷体"/>
          <w:b/>
          <w:bCs/>
          <w:sz w:val="30"/>
          <w:szCs w:val="30"/>
          <w:shd w:val="clear" w:color="auto" w:fill="FFFFFF"/>
          <w:lang w:val="en-US" w:eastAsia="zh-CN"/>
        </w:rPr>
        <w:t>特别</w:t>
      </w:r>
      <w:r>
        <w:rPr>
          <w:rFonts w:hint="eastAsia" w:ascii="楷体" w:hAnsi="楷体" w:eastAsia="楷体" w:cs="楷体"/>
          <w:b/>
          <w:bCs/>
          <w:sz w:val="30"/>
          <w:szCs w:val="30"/>
          <w:shd w:val="clear" w:color="auto" w:fill="FFFFFF"/>
        </w:rPr>
        <w:t>提示：</w:t>
      </w:r>
    </w:p>
    <w:p>
      <w:pPr>
        <w:widowControl/>
        <w:shd w:val="clear" w:color="auto" w:fill="FFFFFF"/>
        <w:spacing w:line="560" w:lineRule="exact"/>
        <w:ind w:firstLine="31680" w:firstLineChars="200"/>
        <w:jc w:val="left"/>
        <w:rPr>
          <w:rFonts w:hint="eastAsia" w:ascii="楷体" w:hAnsi="楷体" w:eastAsia="楷体" w:cs="楷体"/>
          <w:b/>
          <w:bCs/>
          <w:sz w:val="30"/>
          <w:szCs w:val="30"/>
        </w:rPr>
      </w:pPr>
      <w:r>
        <w:rPr>
          <w:rFonts w:hint="eastAsia" w:ascii="楷体" w:hAnsi="楷体" w:eastAsia="楷体" w:cs="楷体"/>
          <w:b/>
          <w:bCs/>
          <w:sz w:val="30"/>
          <w:szCs w:val="30"/>
          <w:shd w:val="clear" w:color="auto" w:fill="FFFFFF"/>
        </w:rPr>
        <w:t>（1）</w:t>
      </w:r>
      <w:r>
        <w:rPr>
          <w:rFonts w:hint="eastAsia" w:ascii="楷体" w:hAnsi="楷体" w:eastAsia="楷体" w:cs="楷体"/>
          <w:b/>
          <w:bCs/>
          <w:sz w:val="30"/>
          <w:szCs w:val="30"/>
        </w:rPr>
        <w:t>乘火车从晚8点至次日晨7点之间，在车上6小时以上，或连续乘车超过12小时的，可购同席卧铺票。出差人员夜间乘火车，购买餐车茶座的费用由个人自理，不予报销。</w:t>
      </w:r>
    </w:p>
    <w:p>
      <w:pPr>
        <w:rPr>
          <w:rFonts w:hint="eastAsia" w:ascii="楷体" w:hAnsi="楷体" w:eastAsia="楷体" w:cs="楷体"/>
          <w:b/>
          <w:bCs/>
          <w:sz w:val="30"/>
          <w:szCs w:val="30"/>
          <w:shd w:val="clear" w:color="auto" w:fill="FFFFFF"/>
        </w:rPr>
      </w:pPr>
      <w:r>
        <w:rPr>
          <w:rFonts w:hint="eastAsia" w:ascii="楷体" w:hAnsi="楷体" w:eastAsia="楷体" w:cs="楷体"/>
          <w:b/>
          <w:bCs/>
          <w:sz w:val="30"/>
          <w:szCs w:val="30"/>
          <w:shd w:val="clear" w:color="auto" w:fill="FFFFFF"/>
        </w:rPr>
        <w:t xml:space="preserve">    （2）教职工出差、访学等公务活动需购买机票的，应在政府采购机票管理网站、各航空公司直销机构或具备机票销售资质的代理机构购买公务机票（印有GP打头的验证码），使用公务卡或单位银行转帐方式（如支票、汇款）结算，不得使用现金结算。购买非国内航空公司航班机票的，应以相关有效票据作为报销凭证，并附经单位外事部门和财务部门出具意见的审批表。购买市场低价票的，应以有效票据作为报销凭证，并提供低于购票时点政府采购优惠票价的证明材料。购票人报销机票退票手续费时，以航空公司或机票销售代理机构出具的退款单据作为报销凭证。</w:t>
      </w:r>
    </w:p>
    <w:p>
      <w:pPr>
        <w:widowControl/>
        <w:shd w:val="clear" w:color="auto" w:fill="FFFFFF"/>
        <w:spacing w:line="560" w:lineRule="exact"/>
        <w:ind w:firstLine="31680" w:firstLineChars="200"/>
        <w:jc w:val="left"/>
        <w:rPr>
          <w:rFonts w:hint="eastAsia" w:ascii="楷体" w:hAnsi="楷体" w:eastAsia="楷体" w:cs="楷体"/>
          <w:b/>
          <w:bCs/>
          <w:sz w:val="30"/>
          <w:szCs w:val="30"/>
        </w:rPr>
      </w:pPr>
      <w:r>
        <w:rPr>
          <w:rFonts w:hint="eastAsia" w:ascii="楷体" w:hAnsi="楷体" w:eastAsia="楷体" w:cs="楷体"/>
          <w:b/>
          <w:bCs/>
          <w:sz w:val="30"/>
          <w:szCs w:val="30"/>
        </w:rPr>
        <w:t>（3）因特殊情况确需驾驶本人车辆出行的，按外出期间实际发生的汽油费、过桥过路费据实报销。外地汽油费、过桥过路费与《山东理工大学教职工公出请假表》、住宿费发票（或承担住宿费单位出具的有效证明，当天返回的除外）填写《差旅费报销单》一起报销，不允许单独报销外地汽油费、过桥过路费；汽油费、过桥过路费要与外出往返区间相关，不得报销与外出往返区间无关的汽油费、过桥过路费。汽油费、过桥过路费要确保因公务活动而发生，严格禁止使用私人用车加油费、过桥过路费报销套取经费，否则按照有关规定追究当事人的责任。</w:t>
      </w:r>
    </w:p>
    <w:p>
      <w:pPr>
        <w:ind w:firstLine="600" w:firstLineChars="200"/>
        <w:rPr>
          <w:rFonts w:hint="eastAsia" w:ascii="楷体" w:hAnsi="楷体" w:eastAsia="楷体" w:cs="楷体"/>
          <w:b/>
          <w:bCs/>
          <w:sz w:val="30"/>
          <w:szCs w:val="30"/>
          <w:shd w:val="clear" w:color="auto" w:fill="FFFFFF"/>
        </w:rPr>
      </w:pPr>
      <w:r>
        <w:rPr>
          <w:rFonts w:hint="eastAsia" w:ascii="楷体" w:hAnsi="楷体" w:eastAsia="楷体" w:cs="楷体"/>
          <w:b/>
          <w:bCs/>
          <w:sz w:val="30"/>
          <w:szCs w:val="30"/>
          <w:shd w:val="clear" w:color="auto" w:fill="FFFFFF"/>
        </w:rPr>
        <w:t>（4）往返区间的交通票据要连续、完整，车票丢失或不连续完整的，要做出说明，附《特殊情况结算审批表》报销，否则不予报销出差期间的交通费。不得使用补充客票代替丢失车票报销交通费。</w:t>
      </w:r>
    </w:p>
    <w:p>
      <w:pPr>
        <w:ind w:firstLine="600" w:firstLineChars="200"/>
        <w:rPr>
          <w:rFonts w:hint="eastAsia" w:ascii="楷体" w:hAnsi="楷体" w:eastAsia="楷体" w:cs="楷体"/>
          <w:b/>
          <w:bCs/>
          <w:sz w:val="30"/>
          <w:szCs w:val="30"/>
          <w:shd w:val="clear" w:color="auto" w:fill="FFFFFF"/>
        </w:rPr>
      </w:pPr>
      <w:r>
        <w:rPr>
          <w:rFonts w:hint="eastAsia" w:ascii="楷体" w:hAnsi="楷体" w:eastAsia="楷体" w:cs="楷体"/>
          <w:b/>
          <w:bCs/>
          <w:sz w:val="30"/>
          <w:szCs w:val="30"/>
          <w:shd w:val="clear" w:color="auto" w:fill="FFFFFF"/>
          <w:lang w:eastAsia="zh-CN"/>
        </w:rPr>
        <w:t>（</w:t>
      </w:r>
      <w:r>
        <w:rPr>
          <w:rFonts w:hint="eastAsia" w:ascii="楷体" w:hAnsi="楷体" w:eastAsia="楷体" w:cs="楷体"/>
          <w:b/>
          <w:bCs/>
          <w:sz w:val="30"/>
          <w:szCs w:val="30"/>
          <w:shd w:val="clear" w:color="auto" w:fill="FFFFFF"/>
          <w:lang w:val="en-US" w:eastAsia="zh-CN"/>
        </w:rPr>
        <w:t>5</w:t>
      </w:r>
      <w:r>
        <w:rPr>
          <w:rFonts w:hint="eastAsia" w:ascii="楷体" w:hAnsi="楷体" w:eastAsia="楷体" w:cs="楷体"/>
          <w:b/>
          <w:bCs/>
          <w:sz w:val="30"/>
          <w:szCs w:val="30"/>
          <w:shd w:val="clear" w:color="auto" w:fill="FFFFFF"/>
          <w:lang w:eastAsia="zh-CN"/>
        </w:rPr>
        <w:t>）</w:t>
      </w:r>
      <w:r>
        <w:rPr>
          <w:rFonts w:hint="eastAsia" w:ascii="楷体" w:hAnsi="楷体" w:eastAsia="楷体" w:cs="楷体"/>
          <w:b/>
          <w:bCs/>
          <w:sz w:val="30"/>
          <w:szCs w:val="30"/>
          <w:shd w:val="clear" w:color="auto" w:fill="FFFFFF"/>
        </w:rPr>
        <w:t>私人车辆如果使用ETC支付过路过桥费，可登陆山东交通运输厅高速公路电子收费网站（http://www.sdjtetc.com）查询过路过桥费消费信息，作为报销过路过桥费的依据。</w:t>
      </w:r>
    </w:p>
    <w:p>
      <w:pPr>
        <w:pStyle w:val="4"/>
        <w:widowControl/>
        <w:numPr>
          <w:ilvl w:val="0"/>
          <w:numId w:val="6"/>
        </w:numPr>
        <w:shd w:val="clear" w:color="auto" w:fill="FFFFFF"/>
        <w:adjustRightInd w:val="0"/>
        <w:snapToGrid w:val="0"/>
        <w:spacing w:before="0" w:beforeAutospacing="0" w:after="0" w:afterAutospacing="0" w:line="560" w:lineRule="exact"/>
        <w:ind w:firstLine="570"/>
        <w:jc w:val="both"/>
        <w:rPr>
          <w:rFonts w:hint="eastAsia" w:ascii="宋体" w:hAnsi="宋体" w:cs="宋体"/>
          <w:b/>
          <w:bCs/>
          <w:kern w:val="2"/>
          <w:sz w:val="30"/>
          <w:szCs w:val="30"/>
          <w:shd w:val="clear" w:color="auto" w:fill="FFFFFF"/>
        </w:rPr>
      </w:pPr>
      <w:r>
        <w:rPr>
          <w:rFonts w:hint="eastAsia" w:ascii="宋体" w:hAnsi="宋体" w:cs="宋体"/>
          <w:b/>
          <w:bCs/>
          <w:kern w:val="2"/>
          <w:sz w:val="30"/>
          <w:szCs w:val="30"/>
          <w:shd w:val="clear" w:color="auto" w:fill="FFFFFF"/>
        </w:rPr>
        <w:t>住宿费</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00" w:firstLineChars="200"/>
        <w:jc w:val="both"/>
        <w:textAlignment w:val="auto"/>
        <w:outlineLvl w:val="9"/>
        <w:rPr>
          <w:rFonts w:hint="eastAsia" w:ascii="仿宋" w:hAnsi="仿宋" w:eastAsia="仿宋" w:cs="仿宋"/>
          <w:kern w:val="2"/>
          <w:sz w:val="32"/>
          <w:szCs w:val="32"/>
        </w:rPr>
      </w:pPr>
      <w:r>
        <w:rPr>
          <w:rFonts w:hint="eastAsia" w:ascii="仿宋" w:hAnsi="仿宋" w:eastAsia="仿宋" w:cs="仿宋"/>
          <w:kern w:val="2"/>
          <w:sz w:val="32"/>
          <w:szCs w:val="32"/>
          <w:shd w:val="clear" w:color="auto" w:fill="FFFFFF"/>
        </w:rPr>
        <w:t>按照校长办公室《关于转发《关于调整山东省省直机关差旅住宿费标准等有关问题的通知》的通知》（鲁理工大办发〔2015〕12号）执行。</w:t>
      </w:r>
      <w:r>
        <w:rPr>
          <w:rFonts w:hint="eastAsia" w:ascii="仿宋" w:hAnsi="仿宋" w:eastAsia="仿宋" w:cs="仿宋"/>
          <w:kern w:val="2"/>
          <w:sz w:val="32"/>
          <w:szCs w:val="32"/>
        </w:rPr>
        <w:t>学校工作人员出差可住单间或者标准间，不得住套间。</w:t>
      </w:r>
      <w:r>
        <w:rPr>
          <w:rFonts w:hint="eastAsia" w:ascii="仿宋" w:hAnsi="仿宋" w:eastAsia="仿宋" w:cs="仿宋"/>
          <w:kern w:val="2"/>
          <w:sz w:val="32"/>
          <w:szCs w:val="32"/>
          <w:shd w:val="clear" w:color="auto" w:fill="FFFFFF"/>
        </w:rPr>
        <w:t>省内出差按照省财政厅发布的相关地区出差住宿费限额标准执行，省外出差按</w:t>
      </w:r>
      <w:r>
        <w:rPr>
          <w:rFonts w:hint="eastAsia" w:ascii="仿宋" w:hAnsi="仿宋" w:eastAsia="仿宋" w:cs="仿宋"/>
          <w:kern w:val="2"/>
          <w:sz w:val="32"/>
          <w:szCs w:val="32"/>
        </w:rPr>
        <w:t>照财政部发布的相关地区出差住宿费限额标准执行。</w:t>
      </w:r>
      <w:r>
        <w:rPr>
          <w:rFonts w:hint="eastAsia" w:ascii="仿宋" w:hAnsi="仿宋" w:eastAsia="仿宋" w:cs="仿宋"/>
          <w:kern w:val="2"/>
          <w:sz w:val="32"/>
          <w:szCs w:val="32"/>
          <w:shd w:val="clear" w:color="auto" w:fill="FFFFFF"/>
        </w:rPr>
        <w:t>住宿费在规定标准内，凭有效住宿费凭证按实际发生额报销。</w:t>
      </w:r>
      <w:r>
        <w:rPr>
          <w:rFonts w:hint="eastAsia" w:ascii="仿宋" w:hAnsi="仿宋" w:eastAsia="仿宋" w:cs="仿宋"/>
          <w:kern w:val="2"/>
          <w:sz w:val="32"/>
          <w:szCs w:val="32"/>
        </w:rPr>
        <w:t>午休住宿费可参照上述标准按半天报销。会议统一安排的住宿费可据实报销，须附书面会议通知，否则按出差标准报销。</w:t>
      </w:r>
    </w:p>
    <w:p>
      <w:pPr>
        <w:pStyle w:val="4"/>
        <w:widowControl/>
        <w:shd w:val="clear" w:color="auto" w:fill="FFFFFF"/>
        <w:adjustRightInd w:val="0"/>
        <w:snapToGrid w:val="0"/>
        <w:spacing w:before="0" w:beforeAutospacing="0" w:after="0" w:afterAutospacing="0" w:line="560" w:lineRule="exact"/>
        <w:ind w:firstLine="600" w:firstLineChars="200"/>
        <w:jc w:val="both"/>
        <w:rPr>
          <w:rFonts w:hint="eastAsia" w:ascii="宋体" w:hAnsi="宋体" w:cs="宋体"/>
          <w:b/>
          <w:bCs/>
          <w:kern w:val="2"/>
          <w:sz w:val="30"/>
          <w:szCs w:val="30"/>
        </w:rPr>
      </w:pPr>
      <w:r>
        <w:rPr>
          <w:rFonts w:ascii="??_GB2312" w:hAnsi="??_GB2312" w:eastAsia="Times New Roman" w:cs="Times New Roman"/>
          <w:b/>
          <w:bCs/>
          <w:kern w:val="2"/>
          <w:sz w:val="30"/>
          <w:szCs w:val="30"/>
        </w:rPr>
        <w:t>3</w:t>
      </w:r>
      <w:r>
        <w:rPr>
          <w:rFonts w:hint="eastAsia" w:ascii="宋体" w:hAnsi="宋体" w:cs="宋体"/>
          <w:b/>
          <w:bCs/>
          <w:kern w:val="2"/>
          <w:sz w:val="30"/>
          <w:szCs w:val="30"/>
        </w:rPr>
        <w:t>、伙食补助费及市内交通费</w:t>
      </w:r>
    </w:p>
    <w:p>
      <w:pPr>
        <w:pStyle w:val="4"/>
        <w:widowControl/>
        <w:shd w:val="clear" w:color="auto" w:fill="FFFFFF"/>
        <w:adjustRightInd w:val="0"/>
        <w:snapToGrid w:val="0"/>
        <w:spacing w:before="0" w:beforeAutospacing="0" w:after="0" w:afterAutospacing="0" w:line="560" w:lineRule="exact"/>
        <w:ind w:firstLine="600" w:firstLineChars="200"/>
        <w:jc w:val="both"/>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伙食补助费按照出差自然（日历）天数计算，省内出差每人每天100元包干使用，省外出差按照财政部发布的相关地区出差伙食补助费标准执行。</w:t>
      </w:r>
    </w:p>
    <w:p>
      <w:pPr>
        <w:pStyle w:val="4"/>
        <w:widowControl/>
        <w:shd w:val="clear" w:color="auto" w:fill="FFFFFF"/>
        <w:adjustRightInd w:val="0"/>
        <w:snapToGrid w:val="0"/>
        <w:spacing w:before="0" w:beforeAutospacing="0" w:after="0" w:afterAutospacing="0" w:line="560" w:lineRule="exact"/>
        <w:ind w:firstLine="31680" w:firstLineChars="200"/>
        <w:jc w:val="both"/>
        <w:rPr>
          <w:rFonts w:hint="eastAsia" w:ascii="仿宋" w:hAnsi="仿宋" w:eastAsia="仿宋" w:cs="仿宋"/>
          <w:color w:val="auto"/>
          <w:sz w:val="32"/>
          <w:szCs w:val="32"/>
        </w:rPr>
      </w:pPr>
      <w:r>
        <w:rPr>
          <w:rFonts w:hint="eastAsia" w:ascii="仿宋" w:hAnsi="仿宋" w:eastAsia="仿宋" w:cs="仿宋"/>
          <w:color w:val="auto"/>
          <w:kern w:val="2"/>
          <w:sz w:val="32"/>
          <w:szCs w:val="32"/>
        </w:rPr>
        <w:t>市内交通费按照出差自然（日历）天数计算，淄博市境外每人每天80元包干使用。淄博市市内交通费据实报销。</w:t>
      </w:r>
    </w:p>
    <w:p>
      <w:pPr>
        <w:pStyle w:val="4"/>
        <w:widowControl/>
        <w:shd w:val="clear" w:color="auto" w:fill="FFFFFF"/>
        <w:spacing w:before="0" w:beforeAutospacing="0" w:after="0" w:afterAutospacing="0" w:line="560" w:lineRule="exact"/>
        <w:ind w:firstLine="645"/>
        <w:rPr>
          <w:rFonts w:hint="eastAsia" w:ascii="楷体" w:hAnsi="楷体" w:eastAsia="楷体" w:cs="楷体"/>
          <w:b/>
          <w:bCs/>
          <w:sz w:val="30"/>
          <w:szCs w:val="30"/>
          <w:shd w:val="clear" w:color="auto" w:fill="FFFFFF"/>
        </w:rPr>
      </w:pPr>
      <w:r>
        <w:rPr>
          <w:rFonts w:hint="eastAsia" w:ascii="楷体" w:hAnsi="楷体" w:eastAsia="楷体" w:cs="楷体"/>
          <w:b/>
          <w:bCs/>
          <w:sz w:val="30"/>
          <w:szCs w:val="30"/>
          <w:shd w:val="clear" w:color="auto" w:fill="FFFFFF"/>
          <w:lang w:val="en-US" w:eastAsia="zh-CN"/>
        </w:rPr>
        <w:t>特别</w:t>
      </w:r>
      <w:r>
        <w:rPr>
          <w:rFonts w:hint="eastAsia" w:ascii="楷体" w:hAnsi="楷体" w:eastAsia="楷体" w:cs="楷体"/>
          <w:b/>
          <w:bCs/>
          <w:sz w:val="30"/>
          <w:szCs w:val="30"/>
          <w:shd w:val="clear" w:color="auto" w:fill="FFFFFF"/>
        </w:rPr>
        <w:t>提示：</w:t>
      </w:r>
    </w:p>
    <w:p>
      <w:pPr>
        <w:pStyle w:val="4"/>
        <w:widowControl/>
        <w:shd w:val="clear" w:color="auto" w:fill="FFFFFF"/>
        <w:spacing w:before="0" w:beforeAutospacing="0" w:after="0" w:afterAutospacing="0" w:line="560" w:lineRule="exact"/>
        <w:ind w:firstLine="645"/>
        <w:rPr>
          <w:rFonts w:hint="eastAsia" w:ascii="楷体" w:hAnsi="楷体" w:eastAsia="楷体" w:cs="楷体"/>
          <w:b/>
          <w:bCs/>
          <w:sz w:val="30"/>
          <w:szCs w:val="30"/>
        </w:rPr>
      </w:pPr>
      <w:r>
        <w:rPr>
          <w:rFonts w:hint="eastAsia" w:ascii="楷体" w:hAnsi="楷体" w:eastAsia="楷体" w:cs="楷体"/>
          <w:b/>
          <w:bCs/>
          <w:sz w:val="30"/>
          <w:szCs w:val="30"/>
          <w:shd w:val="clear" w:color="auto" w:fill="FFFFFF"/>
        </w:rPr>
        <w:t>（1）出差期间，由其他单位负担城市间交通费和住宿费的，不予发放伙食补助费和市内交通补助费。</w:t>
      </w:r>
    </w:p>
    <w:p>
      <w:pPr>
        <w:pStyle w:val="4"/>
        <w:widowControl/>
        <w:shd w:val="clear" w:color="auto" w:fill="FFFFFF"/>
        <w:spacing w:before="0" w:beforeAutospacing="0" w:after="0" w:afterAutospacing="0" w:line="560" w:lineRule="exact"/>
        <w:rPr>
          <w:rFonts w:hint="eastAsia" w:ascii="楷体" w:hAnsi="楷体" w:eastAsia="楷体" w:cs="楷体"/>
          <w:b/>
          <w:bCs/>
          <w:sz w:val="30"/>
          <w:szCs w:val="30"/>
        </w:rPr>
      </w:pPr>
      <w:r>
        <w:rPr>
          <w:rFonts w:hint="eastAsia" w:ascii="楷体" w:hAnsi="楷体" w:eastAsia="楷体" w:cs="楷体"/>
          <w:b/>
          <w:bCs/>
          <w:sz w:val="30"/>
          <w:szCs w:val="30"/>
          <w:shd w:val="clear" w:color="auto" w:fill="FFFFFF"/>
        </w:rPr>
        <w:t>      （2）因科研工作在合作单位出差期间，实际发生住宿但由合作单位安排并承担住宿费的，凭合作单位出具的承担住宿费的有效证明和城市间交通费有效凭证，发放伙食补助费和市内交通补助费。</w:t>
      </w:r>
    </w:p>
    <w:p>
      <w:pPr>
        <w:pStyle w:val="4"/>
        <w:widowControl/>
        <w:shd w:val="clear" w:color="auto" w:fill="FFFFFF"/>
        <w:spacing w:before="0" w:beforeAutospacing="0" w:after="0" w:afterAutospacing="0" w:line="560" w:lineRule="exact"/>
        <w:ind w:firstLine="645"/>
        <w:rPr>
          <w:rFonts w:hint="eastAsia" w:ascii="楷体" w:hAnsi="楷体" w:eastAsia="楷体" w:cs="楷体"/>
          <w:b/>
          <w:bCs/>
          <w:sz w:val="30"/>
          <w:szCs w:val="30"/>
          <w:shd w:val="clear" w:color="auto" w:fill="FFFFFF"/>
        </w:rPr>
      </w:pPr>
      <w:r>
        <w:rPr>
          <w:rFonts w:hint="eastAsia" w:ascii="楷体" w:hAnsi="楷体" w:eastAsia="楷体" w:cs="楷体"/>
          <w:b/>
          <w:bCs/>
          <w:sz w:val="30"/>
          <w:szCs w:val="30"/>
          <w:shd w:val="clear" w:color="auto" w:fill="FFFFFF"/>
        </w:rPr>
        <w:t>（3）外出参加会议、短期培训应附会议、培训通知，会议费、培训费与差旅费一同报销，不得拆分报销。会议和培训期间由举办方免费安排食宿，不发放会议、培训期间的伙食补助，来往会议、培训地期间发放两天市内交通补助及实际在途天数的伙食补助；举办方不免费安排食宿的，凭举办方出具的有效证明按规定标准发放伙食补助。</w:t>
      </w:r>
    </w:p>
    <w:p>
      <w:pPr>
        <w:pStyle w:val="4"/>
        <w:widowControl/>
        <w:shd w:val="clear" w:color="auto" w:fill="FFFFFF"/>
        <w:spacing w:before="0" w:beforeAutospacing="0" w:after="0" w:afterAutospacing="0" w:line="560" w:lineRule="exact"/>
        <w:ind w:firstLine="645"/>
        <w:rPr>
          <w:rFonts w:hint="eastAsia" w:ascii="楷体" w:hAnsi="楷体" w:eastAsia="楷体" w:cs="楷体"/>
          <w:b/>
          <w:bCs/>
          <w:sz w:val="30"/>
          <w:szCs w:val="30"/>
          <w:shd w:val="clear" w:color="auto" w:fill="FFFFFF"/>
        </w:rPr>
      </w:pPr>
      <w:r>
        <w:rPr>
          <w:rFonts w:hint="eastAsia" w:ascii="楷体" w:hAnsi="楷体" w:eastAsia="楷体" w:cs="楷体"/>
          <w:b/>
          <w:bCs/>
          <w:sz w:val="30"/>
          <w:szCs w:val="30"/>
          <w:shd w:val="clear" w:color="auto" w:fill="FFFFFF"/>
        </w:rPr>
        <w:t>（4）学生参加科研、各类竞赛、校外调研、校外考察、校外社会实践等活动，乘坐交通工具和住宿标准不得超过学校差旅费办法中“其余人员”标准，按照实际发生的城市间交通费、市内交通费、住宿费据实报销有关费用。其中，市内交通费不得超过80元/天。</w:t>
      </w:r>
    </w:p>
    <w:p>
      <w:pPr>
        <w:ind w:firstLine="570"/>
        <w:jc w:val="left"/>
        <w:rPr>
          <w:rFonts w:hint="eastAsia" w:ascii="宋体" w:hAnsi="宋体" w:cs="宋体"/>
          <w:b/>
          <w:bCs/>
          <w:sz w:val="32"/>
          <w:szCs w:val="32"/>
        </w:rPr>
      </w:pPr>
      <w:r>
        <w:rPr>
          <w:rFonts w:hint="eastAsia" w:ascii="宋体" w:hAnsi="宋体" w:cs="宋体"/>
          <w:b/>
          <w:bCs/>
          <w:sz w:val="32"/>
          <w:szCs w:val="32"/>
        </w:rPr>
        <w:t>六、出国费</w:t>
      </w:r>
    </w:p>
    <w:p>
      <w:pPr>
        <w:pStyle w:val="4"/>
        <w:widowControl/>
        <w:shd w:val="clear" w:color="auto" w:fill="FFFFFF"/>
        <w:spacing w:before="0" w:beforeAutospacing="0" w:after="0" w:afterAutospacing="0" w:line="560" w:lineRule="exact"/>
        <w:ind w:firstLine="31680" w:firstLineChars="200"/>
        <w:rPr>
          <w:rFonts w:hint="eastAsia" w:ascii="仿宋" w:hAnsi="仿宋" w:eastAsia="仿宋" w:cs="仿宋"/>
          <w:b w:val="0"/>
          <w:bCs w:val="0"/>
          <w:color w:val="auto"/>
          <w:sz w:val="32"/>
          <w:szCs w:val="32"/>
          <w:shd w:val="clear" w:color="auto" w:fill="FFFFFF"/>
        </w:rPr>
      </w:pPr>
      <w:r>
        <w:rPr>
          <w:rFonts w:hint="eastAsia" w:ascii="仿宋" w:hAnsi="仿宋" w:eastAsia="仿宋" w:cs="仿宋"/>
          <w:b w:val="0"/>
          <w:bCs w:val="0"/>
          <w:color w:val="auto"/>
          <w:kern w:val="2"/>
          <w:sz w:val="32"/>
          <w:szCs w:val="32"/>
        </w:rPr>
        <w:t>因公出国费用报销参照《山东理工大学教职工出国管理办法》鲁理工大党发〔2014〕25号及</w:t>
      </w:r>
      <w:r>
        <w:rPr>
          <w:rFonts w:hint="eastAsia" w:ascii="仿宋" w:hAnsi="仿宋" w:eastAsia="仿宋" w:cs="仿宋"/>
          <w:b w:val="0"/>
          <w:bCs w:val="0"/>
          <w:color w:val="auto"/>
          <w:sz w:val="32"/>
          <w:szCs w:val="32"/>
          <w:shd w:val="clear" w:color="auto" w:fill="FFFFFF"/>
        </w:rPr>
        <w:t>《山东省因公临时出国经费管理实施办法》（鲁财行〔2014〕1号）的相关规定。</w:t>
      </w:r>
    </w:p>
    <w:p>
      <w:pPr>
        <w:pStyle w:val="4"/>
        <w:widowControl/>
        <w:shd w:val="clear" w:color="auto" w:fill="FFFFFF"/>
        <w:spacing w:before="0" w:beforeAutospacing="0" w:after="0" w:afterAutospacing="0" w:line="560" w:lineRule="exact"/>
        <w:ind w:firstLine="31680" w:firstLineChars="200"/>
        <w:rPr>
          <w:rFonts w:hint="eastAsia" w:ascii="仿宋" w:hAnsi="仿宋" w:eastAsia="仿宋" w:cs="仿宋"/>
          <w:b w:val="0"/>
          <w:bCs w:val="0"/>
          <w:color w:val="auto"/>
          <w:sz w:val="32"/>
          <w:szCs w:val="32"/>
          <w:shd w:val="clear" w:color="auto" w:fill="FFFFFF"/>
        </w:rPr>
      </w:pPr>
      <w:r>
        <w:rPr>
          <w:rFonts w:hint="eastAsia" w:ascii="仿宋" w:hAnsi="仿宋" w:eastAsia="仿宋" w:cs="仿宋"/>
          <w:b w:val="0"/>
          <w:bCs w:val="0"/>
          <w:color w:val="auto"/>
          <w:kern w:val="2"/>
          <w:sz w:val="32"/>
          <w:szCs w:val="32"/>
        </w:rPr>
        <w:t>因公出国（境）指学校（学院、部、处）组团出访、教职工出国访学、出国参加学术会议、学习进修、出国任教等出国</w:t>
      </w:r>
      <w:r>
        <w:rPr>
          <w:rFonts w:hint="eastAsia" w:ascii="仿宋" w:hAnsi="仿宋" w:eastAsia="仿宋" w:cs="仿宋"/>
          <w:b w:val="0"/>
          <w:bCs w:val="0"/>
          <w:color w:val="auto"/>
          <w:kern w:val="2"/>
          <w:sz w:val="32"/>
          <w:szCs w:val="32"/>
          <w:lang w:val="en-US" w:eastAsia="zh-CN"/>
        </w:rPr>
        <w:t>活动</w:t>
      </w:r>
      <w:r>
        <w:rPr>
          <w:rFonts w:hint="eastAsia" w:ascii="仿宋" w:hAnsi="仿宋" w:eastAsia="仿宋" w:cs="仿宋"/>
          <w:b w:val="0"/>
          <w:bCs w:val="0"/>
          <w:color w:val="auto"/>
          <w:kern w:val="2"/>
          <w:sz w:val="32"/>
          <w:szCs w:val="32"/>
          <w:lang w:eastAsia="zh-CN"/>
        </w:rPr>
        <w:t>。主要内容包括往返旅费、学费、住宿费、人身医疗保险及签证费用等，</w:t>
      </w:r>
      <w:r>
        <w:rPr>
          <w:rFonts w:hint="eastAsia" w:ascii="仿宋" w:hAnsi="仿宋" w:eastAsia="仿宋" w:cs="仿宋"/>
          <w:b w:val="0"/>
          <w:bCs w:val="0"/>
          <w:color w:val="auto"/>
          <w:kern w:val="2"/>
          <w:sz w:val="32"/>
          <w:szCs w:val="32"/>
          <w:lang w:val="en-US" w:eastAsia="zh-CN"/>
        </w:rPr>
        <w:t>组团出国</w:t>
      </w:r>
      <w:r>
        <w:rPr>
          <w:rFonts w:hint="eastAsia" w:ascii="仿宋" w:hAnsi="仿宋" w:eastAsia="仿宋" w:cs="仿宋"/>
          <w:b w:val="0"/>
          <w:bCs w:val="0"/>
          <w:color w:val="auto"/>
          <w:kern w:val="2"/>
          <w:sz w:val="32"/>
          <w:szCs w:val="32"/>
        </w:rPr>
        <w:t>费用报销时</w:t>
      </w:r>
      <w:r>
        <w:rPr>
          <w:rFonts w:hint="eastAsia" w:ascii="仿宋" w:hAnsi="仿宋" w:eastAsia="仿宋" w:cs="仿宋"/>
          <w:b w:val="0"/>
          <w:bCs w:val="0"/>
          <w:color w:val="auto"/>
          <w:sz w:val="32"/>
          <w:szCs w:val="32"/>
          <w:shd w:val="clear" w:color="auto" w:fill="FFFFFF"/>
        </w:rPr>
        <w:t>需经团组负责人审核签字确认经费开支情况，由国交处签字盖章后办理报销事宜。</w:t>
      </w:r>
      <w:r>
        <w:rPr>
          <w:rFonts w:hint="eastAsia" w:ascii="仿宋" w:hAnsi="仿宋" w:eastAsia="仿宋" w:cs="仿宋"/>
          <w:b w:val="0"/>
          <w:bCs w:val="0"/>
          <w:color w:val="auto"/>
          <w:sz w:val="32"/>
          <w:szCs w:val="32"/>
          <w:shd w:val="clear" w:color="auto" w:fill="FFFFFF"/>
          <w:lang w:val="en-US" w:eastAsia="zh-CN"/>
        </w:rPr>
        <w:t>出国访学进修</w:t>
      </w:r>
      <w:r>
        <w:rPr>
          <w:rFonts w:hint="eastAsia" w:ascii="仿宋" w:hAnsi="仿宋" w:eastAsia="仿宋" w:cs="仿宋"/>
          <w:b w:val="0"/>
          <w:bCs w:val="0"/>
          <w:color w:val="auto"/>
          <w:kern w:val="2"/>
          <w:sz w:val="32"/>
          <w:szCs w:val="32"/>
        </w:rPr>
        <w:t>报销时</w:t>
      </w:r>
      <w:r>
        <w:rPr>
          <w:rFonts w:hint="eastAsia" w:ascii="仿宋" w:hAnsi="仿宋" w:eastAsia="仿宋" w:cs="仿宋"/>
          <w:b w:val="0"/>
          <w:bCs w:val="0"/>
          <w:color w:val="auto"/>
          <w:kern w:val="2"/>
          <w:sz w:val="32"/>
          <w:szCs w:val="32"/>
          <w:lang w:val="en-US" w:eastAsia="zh-CN"/>
        </w:rPr>
        <w:t>应经人事处签字后办理报销事宜。</w:t>
      </w:r>
      <w:r>
        <w:rPr>
          <w:rFonts w:hint="eastAsia" w:ascii="仿宋" w:hAnsi="仿宋" w:eastAsia="仿宋" w:cs="仿宋"/>
          <w:b w:val="0"/>
          <w:bCs w:val="0"/>
          <w:color w:val="auto"/>
          <w:sz w:val="32"/>
          <w:szCs w:val="32"/>
          <w:shd w:val="clear" w:color="auto" w:fill="FFFFFF"/>
        </w:rPr>
        <w:t>各种</w:t>
      </w:r>
      <w:r>
        <w:rPr>
          <w:rFonts w:hint="eastAsia" w:ascii="仿宋" w:hAnsi="仿宋" w:eastAsia="仿宋" w:cs="仿宋"/>
          <w:b w:val="0"/>
          <w:bCs w:val="0"/>
          <w:color w:val="auto"/>
          <w:sz w:val="32"/>
          <w:szCs w:val="32"/>
          <w:shd w:val="clear" w:color="auto" w:fill="FFFFFF"/>
          <w:lang w:val="en-US" w:eastAsia="zh-CN"/>
        </w:rPr>
        <w:t>国外</w:t>
      </w:r>
      <w:r>
        <w:rPr>
          <w:rFonts w:hint="eastAsia" w:ascii="仿宋" w:hAnsi="仿宋" w:eastAsia="仿宋" w:cs="仿宋"/>
          <w:b w:val="0"/>
          <w:bCs w:val="0"/>
          <w:color w:val="auto"/>
          <w:sz w:val="32"/>
          <w:szCs w:val="32"/>
          <w:shd w:val="clear" w:color="auto" w:fill="FFFFFF"/>
        </w:rPr>
        <w:t>报销凭证须用中文注明开支内容、日期、数量、金额等</w:t>
      </w:r>
      <w:r>
        <w:rPr>
          <w:rFonts w:hint="eastAsia" w:ascii="仿宋" w:hAnsi="仿宋" w:eastAsia="仿宋" w:cs="仿宋"/>
          <w:b w:val="0"/>
          <w:bCs w:val="0"/>
          <w:color w:val="auto"/>
          <w:sz w:val="32"/>
          <w:szCs w:val="32"/>
          <w:shd w:val="clear" w:color="auto" w:fill="FFFFFF"/>
          <w:lang w:val="en-US" w:eastAsia="zh-CN"/>
        </w:rPr>
        <w:t>内容</w:t>
      </w:r>
      <w:r>
        <w:rPr>
          <w:rFonts w:hint="eastAsia" w:ascii="仿宋" w:hAnsi="仿宋" w:eastAsia="仿宋" w:cs="仿宋"/>
          <w:b w:val="0"/>
          <w:bCs w:val="0"/>
          <w:color w:val="auto"/>
          <w:sz w:val="32"/>
          <w:szCs w:val="32"/>
          <w:shd w:val="clear" w:color="auto" w:fill="FFFFFF"/>
        </w:rPr>
        <w:t>。</w:t>
      </w:r>
    </w:p>
    <w:p>
      <w:pPr>
        <w:ind w:firstLine="570"/>
        <w:jc w:val="left"/>
        <w:rPr>
          <w:rFonts w:hint="eastAsia" w:ascii="宋体" w:hAnsi="宋体" w:cs="宋体"/>
          <w:b/>
          <w:bCs/>
          <w:sz w:val="32"/>
          <w:szCs w:val="32"/>
        </w:rPr>
      </w:pPr>
      <w:bookmarkStart w:id="0" w:name="_GoBack"/>
      <w:bookmarkEnd w:id="0"/>
      <w:r>
        <w:rPr>
          <w:rFonts w:hint="eastAsia" w:ascii="宋体" w:hAnsi="宋体" w:cs="宋体"/>
          <w:b/>
          <w:bCs/>
          <w:sz w:val="32"/>
          <w:szCs w:val="32"/>
        </w:rPr>
        <w:t>七、会议费</w:t>
      </w:r>
    </w:p>
    <w:p>
      <w:pPr>
        <w:widowControl/>
        <w:spacing w:line="560" w:lineRule="exact"/>
        <w:ind w:firstLine="31680" w:firstLineChars="200"/>
        <w:jc w:val="left"/>
        <w:rPr>
          <w:rFonts w:hint="eastAsia" w:ascii="仿宋" w:hAnsi="仿宋" w:eastAsia="仿宋" w:cs="仿宋"/>
          <w:sz w:val="32"/>
          <w:szCs w:val="32"/>
        </w:rPr>
      </w:pPr>
      <w:r>
        <w:rPr>
          <w:rFonts w:hint="eastAsia" w:ascii="仿宋" w:hAnsi="仿宋" w:eastAsia="仿宋" w:cs="仿宋"/>
          <w:sz w:val="32"/>
          <w:szCs w:val="32"/>
          <w:shd w:val="clear" w:color="auto" w:fill="FFFFFF"/>
        </w:rPr>
        <w:t>举办会议按照《关于转发《山东省省直机关会议费管理办法》及《山东省省直机关培训费管理办法》的通知》（</w:t>
      </w:r>
      <w:r>
        <w:rPr>
          <w:rFonts w:hint="eastAsia" w:ascii="仿宋" w:hAnsi="仿宋" w:eastAsia="仿宋" w:cs="仿宋"/>
          <w:sz w:val="32"/>
          <w:szCs w:val="32"/>
        </w:rPr>
        <w:t>鲁理工大党办发〔2014〕11号）</w:t>
      </w:r>
      <w:r>
        <w:rPr>
          <w:rFonts w:hint="eastAsia" w:ascii="仿宋" w:hAnsi="仿宋" w:eastAsia="仿宋" w:cs="仿宋"/>
          <w:sz w:val="32"/>
          <w:szCs w:val="32"/>
          <w:shd w:val="clear" w:color="auto" w:fill="FFFFFF"/>
        </w:rPr>
        <w:t>执行</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rPr>
        <w:t>由党委办公室、校长办公室归口统一管理</w:t>
      </w:r>
      <w:r>
        <w:rPr>
          <w:rFonts w:hint="eastAsia" w:ascii="仿宋" w:hAnsi="仿宋" w:eastAsia="仿宋" w:cs="仿宋"/>
          <w:sz w:val="32"/>
          <w:szCs w:val="32"/>
        </w:rPr>
        <w:t>。</w:t>
      </w:r>
      <w:r>
        <w:rPr>
          <w:rFonts w:hint="eastAsia" w:ascii="仿宋" w:hAnsi="仿宋" w:eastAsia="仿宋" w:cs="仿宋"/>
          <w:kern w:val="0"/>
          <w:sz w:val="32"/>
          <w:szCs w:val="32"/>
        </w:rPr>
        <w:t>会议费开支实行综合定额控制,各项费用之间可以调剂使用。</w:t>
      </w:r>
    </w:p>
    <w:p>
      <w:pPr>
        <w:widowControl/>
        <w:adjustRightInd w:val="0"/>
        <w:snapToGrid w:val="0"/>
        <w:spacing w:line="560" w:lineRule="exact"/>
        <w:ind w:firstLine="31680" w:firstLineChars="200"/>
        <w:jc w:val="left"/>
        <w:rPr>
          <w:rFonts w:ascii="??_GB2312" w:hAnsi="??_GB2312" w:eastAsia="Times New Roman" w:cs="Times New Roman"/>
          <w:sz w:val="30"/>
          <w:szCs w:val="30"/>
        </w:rPr>
      </w:pPr>
      <w:r>
        <w:rPr>
          <w:rFonts w:hint="eastAsia" w:ascii="仿宋" w:hAnsi="仿宋" w:eastAsia="仿宋" w:cs="仿宋"/>
          <w:kern w:val="0"/>
          <w:sz w:val="30"/>
          <w:szCs w:val="30"/>
        </w:rPr>
        <w:t>会议费综合定额标准如下:　　　　</w:t>
      </w:r>
      <w:r>
        <w:rPr>
          <w:rFonts w:hint="eastAsia" w:ascii="宋体" w:hAnsi="宋体" w:cs="宋体"/>
          <w:kern w:val="0"/>
          <w:sz w:val="30"/>
          <w:szCs w:val="30"/>
        </w:rPr>
        <w:t>　　　单位</w:t>
      </w:r>
      <w:r>
        <w:rPr>
          <w:rFonts w:ascii="??_GB2312" w:hAnsi="??_GB2312" w:eastAsia="Times New Roman" w:cs="Times New Roman"/>
          <w:kern w:val="0"/>
          <w:sz w:val="30"/>
          <w:szCs w:val="30"/>
        </w:rPr>
        <w:t>:</w:t>
      </w:r>
      <w:r>
        <w:rPr>
          <w:rFonts w:hint="eastAsia" w:ascii="宋体" w:hAnsi="宋体" w:cs="宋体"/>
          <w:kern w:val="0"/>
          <w:sz w:val="30"/>
          <w:szCs w:val="30"/>
        </w:rPr>
        <w:t>元</w:t>
      </w:r>
      <w:r>
        <w:rPr>
          <w:rFonts w:ascii="??_GB2312" w:hAnsi="??_GB2312" w:eastAsia="Times New Roman" w:cs="Times New Roman"/>
          <w:kern w:val="0"/>
          <w:sz w:val="30"/>
          <w:szCs w:val="30"/>
        </w:rPr>
        <w:t>/</w:t>
      </w:r>
      <w:r>
        <w:rPr>
          <w:rFonts w:hint="eastAsia" w:ascii="宋体" w:hAnsi="宋体" w:cs="宋体"/>
          <w:kern w:val="0"/>
          <w:sz w:val="30"/>
          <w:szCs w:val="30"/>
        </w:rPr>
        <w:t>人天</w:t>
      </w:r>
    </w:p>
    <w:tbl>
      <w:tblPr>
        <w:tblStyle w:val="8"/>
        <w:tblW w:w="79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1590"/>
        <w:gridCol w:w="1591"/>
        <w:gridCol w:w="1591"/>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590" w:type="dxa"/>
            <w:vAlign w:val="center"/>
          </w:tcPr>
          <w:p>
            <w:pPr>
              <w:widowControl/>
              <w:adjustRightInd w:val="0"/>
              <w:snapToGrid w:val="0"/>
              <w:spacing w:line="560" w:lineRule="exact"/>
              <w:rPr>
                <w:rFonts w:ascii="??_GB2312" w:hAnsi="??_GB2312" w:eastAsia="Times New Roman" w:cs="Times New Roman"/>
                <w:sz w:val="28"/>
                <w:szCs w:val="28"/>
              </w:rPr>
            </w:pPr>
            <w:r>
              <w:rPr>
                <w:rFonts w:hint="eastAsia" w:ascii="宋体" w:hAnsi="宋体" w:cs="宋体"/>
                <w:kern w:val="0"/>
                <w:sz w:val="28"/>
                <w:szCs w:val="28"/>
              </w:rPr>
              <w:t>会议类别</w:t>
            </w:r>
          </w:p>
        </w:tc>
        <w:tc>
          <w:tcPr>
            <w:tcW w:w="1590" w:type="dxa"/>
            <w:vAlign w:val="center"/>
          </w:tcPr>
          <w:p>
            <w:pPr>
              <w:widowControl/>
              <w:adjustRightInd w:val="0"/>
              <w:snapToGrid w:val="0"/>
              <w:spacing w:line="560" w:lineRule="exact"/>
              <w:rPr>
                <w:rFonts w:ascii="??_GB2312" w:hAnsi="??_GB2312" w:eastAsia="Times New Roman" w:cs="Times New Roman"/>
                <w:sz w:val="28"/>
                <w:szCs w:val="28"/>
              </w:rPr>
            </w:pPr>
            <w:r>
              <w:rPr>
                <w:rFonts w:hint="eastAsia" w:ascii="宋体" w:hAnsi="宋体" w:cs="宋体"/>
                <w:kern w:val="0"/>
                <w:sz w:val="28"/>
                <w:szCs w:val="28"/>
              </w:rPr>
              <w:t>住宿费</w:t>
            </w:r>
          </w:p>
        </w:tc>
        <w:tc>
          <w:tcPr>
            <w:tcW w:w="1591" w:type="dxa"/>
            <w:vAlign w:val="center"/>
          </w:tcPr>
          <w:p>
            <w:pPr>
              <w:widowControl/>
              <w:adjustRightInd w:val="0"/>
              <w:snapToGrid w:val="0"/>
              <w:spacing w:line="560" w:lineRule="exact"/>
              <w:rPr>
                <w:rFonts w:ascii="??_GB2312" w:hAnsi="??_GB2312" w:eastAsia="Times New Roman" w:cs="Times New Roman"/>
                <w:sz w:val="28"/>
                <w:szCs w:val="28"/>
              </w:rPr>
            </w:pPr>
            <w:r>
              <w:rPr>
                <w:rFonts w:hint="eastAsia" w:ascii="宋体" w:hAnsi="宋体" w:cs="宋体"/>
                <w:kern w:val="0"/>
                <w:sz w:val="28"/>
                <w:szCs w:val="28"/>
              </w:rPr>
              <w:t>伙食费</w:t>
            </w:r>
          </w:p>
        </w:tc>
        <w:tc>
          <w:tcPr>
            <w:tcW w:w="1591" w:type="dxa"/>
            <w:vAlign w:val="center"/>
          </w:tcPr>
          <w:p>
            <w:pPr>
              <w:widowControl/>
              <w:adjustRightInd w:val="0"/>
              <w:snapToGrid w:val="0"/>
              <w:spacing w:line="560" w:lineRule="exact"/>
              <w:rPr>
                <w:rFonts w:ascii="??_GB2312" w:hAnsi="??_GB2312" w:eastAsia="Times New Roman" w:cs="Times New Roman"/>
                <w:sz w:val="28"/>
                <w:szCs w:val="28"/>
              </w:rPr>
            </w:pPr>
            <w:r>
              <w:rPr>
                <w:rFonts w:hint="eastAsia" w:ascii="宋体" w:hAnsi="宋体" w:cs="宋体"/>
                <w:kern w:val="0"/>
                <w:sz w:val="28"/>
                <w:szCs w:val="28"/>
              </w:rPr>
              <w:t>其他费用</w:t>
            </w:r>
          </w:p>
        </w:tc>
        <w:tc>
          <w:tcPr>
            <w:tcW w:w="1591" w:type="dxa"/>
            <w:vAlign w:val="center"/>
          </w:tcPr>
          <w:p>
            <w:pPr>
              <w:widowControl/>
              <w:adjustRightInd w:val="0"/>
              <w:snapToGrid w:val="0"/>
              <w:spacing w:line="560" w:lineRule="exact"/>
              <w:ind w:firstLine="31680" w:firstLineChars="200"/>
              <w:jc w:val="center"/>
              <w:rPr>
                <w:rFonts w:ascii="??_GB2312" w:hAnsi="??_GB2312" w:eastAsia="Times New Roman" w:cs="Times New Roman"/>
                <w:sz w:val="28"/>
                <w:szCs w:val="28"/>
              </w:rPr>
            </w:pPr>
            <w:r>
              <w:rPr>
                <w:rFonts w:hint="eastAsia" w:ascii="宋体" w:hAnsi="宋体" w:cs="宋体"/>
                <w:kern w:val="0"/>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590" w:type="dxa"/>
            <w:vAlign w:val="center"/>
          </w:tcPr>
          <w:p>
            <w:pPr>
              <w:widowControl/>
              <w:adjustRightInd w:val="0"/>
              <w:snapToGrid w:val="0"/>
              <w:spacing w:line="560" w:lineRule="exact"/>
              <w:rPr>
                <w:rFonts w:ascii="??_GB2312" w:hAnsi="??_GB2312" w:eastAsia="Times New Roman" w:cs="Times New Roman"/>
                <w:sz w:val="28"/>
                <w:szCs w:val="28"/>
              </w:rPr>
            </w:pPr>
            <w:r>
              <w:rPr>
                <w:rFonts w:hint="eastAsia" w:ascii="宋体" w:hAnsi="宋体" w:cs="宋体"/>
                <w:kern w:val="0"/>
                <w:sz w:val="28"/>
                <w:szCs w:val="28"/>
              </w:rPr>
              <w:t>一类会议</w:t>
            </w:r>
          </w:p>
        </w:tc>
        <w:tc>
          <w:tcPr>
            <w:tcW w:w="1590" w:type="dxa"/>
            <w:vAlign w:val="center"/>
          </w:tcPr>
          <w:p>
            <w:pPr>
              <w:widowControl/>
              <w:adjustRightInd w:val="0"/>
              <w:snapToGrid w:val="0"/>
              <w:spacing w:line="560" w:lineRule="exact"/>
              <w:ind w:firstLine="31680" w:firstLineChars="200"/>
              <w:jc w:val="center"/>
              <w:rPr>
                <w:rFonts w:ascii="??_GB2312" w:hAnsi="??_GB2312" w:eastAsia="Times New Roman" w:cs="Times New Roman"/>
                <w:sz w:val="28"/>
                <w:szCs w:val="28"/>
              </w:rPr>
            </w:pPr>
            <w:r>
              <w:rPr>
                <w:rFonts w:ascii="??_GB2312" w:hAnsi="??_GB2312" w:eastAsia="Times New Roman" w:cs="Times New Roman"/>
                <w:kern w:val="0"/>
                <w:sz w:val="28"/>
                <w:szCs w:val="28"/>
              </w:rPr>
              <w:t>320</w:t>
            </w:r>
          </w:p>
        </w:tc>
        <w:tc>
          <w:tcPr>
            <w:tcW w:w="1591" w:type="dxa"/>
            <w:vAlign w:val="center"/>
          </w:tcPr>
          <w:p>
            <w:pPr>
              <w:widowControl/>
              <w:adjustRightInd w:val="0"/>
              <w:snapToGrid w:val="0"/>
              <w:spacing w:line="560" w:lineRule="exact"/>
              <w:ind w:firstLine="31680" w:firstLineChars="200"/>
              <w:jc w:val="center"/>
              <w:rPr>
                <w:rFonts w:ascii="??_GB2312" w:hAnsi="??_GB2312" w:eastAsia="Times New Roman" w:cs="Times New Roman"/>
                <w:sz w:val="28"/>
                <w:szCs w:val="28"/>
              </w:rPr>
            </w:pPr>
            <w:r>
              <w:rPr>
                <w:rFonts w:ascii="??_GB2312" w:hAnsi="??_GB2312" w:eastAsia="Times New Roman" w:cs="Times New Roman"/>
                <w:kern w:val="0"/>
                <w:sz w:val="28"/>
                <w:szCs w:val="28"/>
              </w:rPr>
              <w:t>130</w:t>
            </w:r>
          </w:p>
        </w:tc>
        <w:tc>
          <w:tcPr>
            <w:tcW w:w="1591" w:type="dxa"/>
            <w:vAlign w:val="center"/>
          </w:tcPr>
          <w:p>
            <w:pPr>
              <w:widowControl/>
              <w:adjustRightInd w:val="0"/>
              <w:snapToGrid w:val="0"/>
              <w:spacing w:line="560" w:lineRule="exact"/>
              <w:ind w:firstLine="31680" w:firstLineChars="200"/>
              <w:jc w:val="center"/>
              <w:rPr>
                <w:rFonts w:ascii="??_GB2312" w:hAnsi="??_GB2312" w:eastAsia="Times New Roman" w:cs="Times New Roman"/>
                <w:sz w:val="28"/>
                <w:szCs w:val="28"/>
              </w:rPr>
            </w:pPr>
            <w:r>
              <w:rPr>
                <w:rFonts w:ascii="??_GB2312" w:hAnsi="??_GB2312" w:eastAsia="Times New Roman" w:cs="Times New Roman"/>
                <w:kern w:val="0"/>
                <w:sz w:val="28"/>
                <w:szCs w:val="28"/>
              </w:rPr>
              <w:t>100</w:t>
            </w:r>
          </w:p>
        </w:tc>
        <w:tc>
          <w:tcPr>
            <w:tcW w:w="1591" w:type="dxa"/>
            <w:vAlign w:val="center"/>
          </w:tcPr>
          <w:p>
            <w:pPr>
              <w:widowControl/>
              <w:adjustRightInd w:val="0"/>
              <w:snapToGrid w:val="0"/>
              <w:spacing w:line="560" w:lineRule="exact"/>
              <w:ind w:firstLine="31680" w:firstLineChars="200"/>
              <w:jc w:val="center"/>
              <w:rPr>
                <w:rFonts w:ascii="??_GB2312" w:hAnsi="??_GB2312" w:eastAsia="Times New Roman" w:cs="Times New Roman"/>
                <w:sz w:val="28"/>
                <w:szCs w:val="28"/>
              </w:rPr>
            </w:pPr>
            <w:r>
              <w:rPr>
                <w:rFonts w:ascii="??_GB2312" w:hAnsi="??_GB2312" w:eastAsia="Times New Roman" w:cs="Times New Roman"/>
                <w:kern w:val="0"/>
                <w:sz w:val="28"/>
                <w:szCs w:val="28"/>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590" w:type="dxa"/>
            <w:vAlign w:val="center"/>
          </w:tcPr>
          <w:p>
            <w:pPr>
              <w:widowControl/>
              <w:adjustRightInd w:val="0"/>
              <w:snapToGrid w:val="0"/>
              <w:spacing w:line="560" w:lineRule="exact"/>
              <w:rPr>
                <w:rFonts w:ascii="??_GB2312" w:hAnsi="??_GB2312" w:eastAsia="Times New Roman" w:cs="Times New Roman"/>
                <w:sz w:val="28"/>
                <w:szCs w:val="28"/>
              </w:rPr>
            </w:pPr>
            <w:r>
              <w:rPr>
                <w:rFonts w:hint="eastAsia" w:ascii="宋体" w:hAnsi="宋体" w:cs="宋体"/>
                <w:kern w:val="0"/>
                <w:sz w:val="28"/>
                <w:szCs w:val="28"/>
              </w:rPr>
              <w:t>二类会议</w:t>
            </w:r>
          </w:p>
        </w:tc>
        <w:tc>
          <w:tcPr>
            <w:tcW w:w="1590" w:type="dxa"/>
            <w:vAlign w:val="center"/>
          </w:tcPr>
          <w:p>
            <w:pPr>
              <w:widowControl/>
              <w:adjustRightInd w:val="0"/>
              <w:snapToGrid w:val="0"/>
              <w:spacing w:line="560" w:lineRule="exact"/>
              <w:ind w:firstLine="31680" w:firstLineChars="200"/>
              <w:jc w:val="center"/>
              <w:rPr>
                <w:rFonts w:ascii="??_GB2312" w:hAnsi="??_GB2312" w:eastAsia="Times New Roman" w:cs="Times New Roman"/>
                <w:sz w:val="28"/>
                <w:szCs w:val="28"/>
              </w:rPr>
            </w:pPr>
            <w:r>
              <w:rPr>
                <w:rFonts w:ascii="??_GB2312" w:hAnsi="??_GB2312" w:eastAsia="Times New Roman" w:cs="Times New Roman"/>
                <w:kern w:val="0"/>
                <w:sz w:val="28"/>
                <w:szCs w:val="28"/>
              </w:rPr>
              <w:t>240</w:t>
            </w:r>
          </w:p>
        </w:tc>
        <w:tc>
          <w:tcPr>
            <w:tcW w:w="1591" w:type="dxa"/>
            <w:vAlign w:val="center"/>
          </w:tcPr>
          <w:p>
            <w:pPr>
              <w:widowControl/>
              <w:adjustRightInd w:val="0"/>
              <w:snapToGrid w:val="0"/>
              <w:spacing w:line="560" w:lineRule="exact"/>
              <w:ind w:firstLine="31680" w:firstLineChars="200"/>
              <w:jc w:val="center"/>
              <w:rPr>
                <w:rFonts w:ascii="??_GB2312" w:hAnsi="??_GB2312" w:eastAsia="Times New Roman" w:cs="Times New Roman"/>
                <w:sz w:val="28"/>
                <w:szCs w:val="28"/>
              </w:rPr>
            </w:pPr>
            <w:r>
              <w:rPr>
                <w:rFonts w:ascii="??_GB2312" w:hAnsi="??_GB2312" w:eastAsia="Times New Roman" w:cs="Times New Roman"/>
                <w:kern w:val="0"/>
                <w:sz w:val="28"/>
                <w:szCs w:val="28"/>
              </w:rPr>
              <w:t>120</w:t>
            </w:r>
          </w:p>
        </w:tc>
        <w:tc>
          <w:tcPr>
            <w:tcW w:w="1591" w:type="dxa"/>
            <w:vAlign w:val="center"/>
          </w:tcPr>
          <w:p>
            <w:pPr>
              <w:widowControl/>
              <w:adjustRightInd w:val="0"/>
              <w:snapToGrid w:val="0"/>
              <w:spacing w:line="560" w:lineRule="exact"/>
              <w:ind w:firstLine="31680" w:firstLineChars="200"/>
              <w:jc w:val="center"/>
              <w:rPr>
                <w:rFonts w:ascii="??_GB2312" w:hAnsi="??_GB2312" w:eastAsia="Times New Roman" w:cs="Times New Roman"/>
                <w:sz w:val="28"/>
                <w:szCs w:val="28"/>
              </w:rPr>
            </w:pPr>
            <w:r>
              <w:rPr>
                <w:rFonts w:ascii="??_GB2312" w:hAnsi="??_GB2312" w:eastAsia="Times New Roman" w:cs="Times New Roman"/>
                <w:kern w:val="0"/>
                <w:sz w:val="28"/>
                <w:szCs w:val="28"/>
              </w:rPr>
              <w:t>90</w:t>
            </w:r>
          </w:p>
        </w:tc>
        <w:tc>
          <w:tcPr>
            <w:tcW w:w="1591" w:type="dxa"/>
            <w:vAlign w:val="center"/>
          </w:tcPr>
          <w:p>
            <w:pPr>
              <w:widowControl/>
              <w:adjustRightInd w:val="0"/>
              <w:snapToGrid w:val="0"/>
              <w:spacing w:line="560" w:lineRule="exact"/>
              <w:ind w:firstLine="31680" w:firstLineChars="200"/>
              <w:jc w:val="center"/>
              <w:rPr>
                <w:rFonts w:ascii="??_GB2312" w:hAnsi="??_GB2312" w:eastAsia="Times New Roman" w:cs="Times New Roman"/>
                <w:sz w:val="28"/>
                <w:szCs w:val="28"/>
              </w:rPr>
            </w:pPr>
            <w:r>
              <w:rPr>
                <w:rFonts w:ascii="??_GB2312" w:hAnsi="??_GB2312" w:eastAsia="Times New Roman" w:cs="Times New Roman"/>
                <w:kern w:val="0"/>
                <w:sz w:val="28"/>
                <w:szCs w:val="28"/>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590" w:type="dxa"/>
            <w:vAlign w:val="center"/>
          </w:tcPr>
          <w:p>
            <w:pPr>
              <w:widowControl/>
              <w:adjustRightInd w:val="0"/>
              <w:snapToGrid w:val="0"/>
              <w:spacing w:line="560" w:lineRule="exact"/>
              <w:rPr>
                <w:rFonts w:ascii="??_GB2312" w:hAnsi="??_GB2312" w:eastAsia="Times New Roman" w:cs="Times New Roman"/>
                <w:sz w:val="28"/>
                <w:szCs w:val="28"/>
              </w:rPr>
            </w:pPr>
            <w:r>
              <w:rPr>
                <w:rFonts w:hint="eastAsia" w:ascii="宋体" w:hAnsi="宋体" w:cs="宋体"/>
                <w:kern w:val="0"/>
                <w:sz w:val="28"/>
                <w:szCs w:val="28"/>
              </w:rPr>
              <w:t>三类会议</w:t>
            </w:r>
          </w:p>
        </w:tc>
        <w:tc>
          <w:tcPr>
            <w:tcW w:w="1590" w:type="dxa"/>
            <w:vAlign w:val="center"/>
          </w:tcPr>
          <w:p>
            <w:pPr>
              <w:widowControl/>
              <w:adjustRightInd w:val="0"/>
              <w:snapToGrid w:val="0"/>
              <w:spacing w:line="560" w:lineRule="exact"/>
              <w:ind w:firstLine="31680" w:firstLineChars="200"/>
              <w:jc w:val="center"/>
              <w:rPr>
                <w:rFonts w:ascii="??_GB2312" w:hAnsi="??_GB2312" w:eastAsia="Times New Roman" w:cs="Times New Roman"/>
                <w:sz w:val="28"/>
                <w:szCs w:val="28"/>
              </w:rPr>
            </w:pPr>
            <w:r>
              <w:rPr>
                <w:rFonts w:ascii="??_GB2312" w:hAnsi="??_GB2312" w:eastAsia="Times New Roman" w:cs="Times New Roman"/>
                <w:kern w:val="0"/>
                <w:sz w:val="28"/>
                <w:szCs w:val="28"/>
              </w:rPr>
              <w:t>210</w:t>
            </w:r>
          </w:p>
        </w:tc>
        <w:tc>
          <w:tcPr>
            <w:tcW w:w="1591" w:type="dxa"/>
            <w:vAlign w:val="center"/>
          </w:tcPr>
          <w:p>
            <w:pPr>
              <w:widowControl/>
              <w:adjustRightInd w:val="0"/>
              <w:snapToGrid w:val="0"/>
              <w:spacing w:line="560" w:lineRule="exact"/>
              <w:ind w:firstLine="31680" w:firstLineChars="200"/>
              <w:jc w:val="center"/>
              <w:rPr>
                <w:rFonts w:ascii="??_GB2312" w:hAnsi="??_GB2312" w:eastAsia="Times New Roman" w:cs="Times New Roman"/>
                <w:sz w:val="28"/>
                <w:szCs w:val="28"/>
              </w:rPr>
            </w:pPr>
            <w:r>
              <w:rPr>
                <w:rFonts w:ascii="??_GB2312" w:hAnsi="??_GB2312" w:eastAsia="Times New Roman" w:cs="Times New Roman"/>
                <w:kern w:val="0"/>
                <w:sz w:val="28"/>
                <w:szCs w:val="28"/>
              </w:rPr>
              <w:t>110</w:t>
            </w:r>
          </w:p>
        </w:tc>
        <w:tc>
          <w:tcPr>
            <w:tcW w:w="1591" w:type="dxa"/>
            <w:vAlign w:val="center"/>
          </w:tcPr>
          <w:p>
            <w:pPr>
              <w:widowControl/>
              <w:adjustRightInd w:val="0"/>
              <w:snapToGrid w:val="0"/>
              <w:spacing w:line="560" w:lineRule="exact"/>
              <w:ind w:firstLine="31680" w:firstLineChars="200"/>
              <w:jc w:val="center"/>
              <w:rPr>
                <w:rFonts w:ascii="??_GB2312" w:hAnsi="??_GB2312" w:eastAsia="Times New Roman" w:cs="Times New Roman"/>
                <w:sz w:val="28"/>
                <w:szCs w:val="28"/>
              </w:rPr>
            </w:pPr>
            <w:r>
              <w:rPr>
                <w:rFonts w:ascii="??_GB2312" w:hAnsi="??_GB2312" w:eastAsia="Times New Roman" w:cs="Times New Roman"/>
                <w:kern w:val="0"/>
                <w:sz w:val="28"/>
                <w:szCs w:val="28"/>
              </w:rPr>
              <w:t>80</w:t>
            </w:r>
          </w:p>
        </w:tc>
        <w:tc>
          <w:tcPr>
            <w:tcW w:w="1591" w:type="dxa"/>
            <w:vAlign w:val="center"/>
          </w:tcPr>
          <w:p>
            <w:pPr>
              <w:widowControl/>
              <w:adjustRightInd w:val="0"/>
              <w:snapToGrid w:val="0"/>
              <w:spacing w:line="560" w:lineRule="exact"/>
              <w:ind w:firstLine="31680" w:firstLineChars="200"/>
              <w:jc w:val="center"/>
              <w:rPr>
                <w:rFonts w:ascii="??_GB2312" w:hAnsi="??_GB2312" w:eastAsia="Times New Roman" w:cs="Times New Roman"/>
                <w:sz w:val="28"/>
                <w:szCs w:val="28"/>
              </w:rPr>
            </w:pPr>
            <w:r>
              <w:rPr>
                <w:rFonts w:ascii="??_GB2312" w:hAnsi="??_GB2312" w:eastAsia="Times New Roman" w:cs="Times New Roman"/>
                <w:kern w:val="0"/>
                <w:sz w:val="28"/>
                <w:szCs w:val="28"/>
              </w:rPr>
              <w:t>400</w:t>
            </w:r>
          </w:p>
        </w:tc>
      </w:tr>
    </w:tbl>
    <w:p>
      <w:pPr>
        <w:widowControl/>
        <w:spacing w:line="560" w:lineRule="exact"/>
        <w:ind w:firstLine="31680" w:firstLineChars="200"/>
        <w:rPr>
          <w:rFonts w:ascii="??_GB2312" w:hAnsi="??_GB2312" w:eastAsia="Times New Roman" w:cs="Times New Roman"/>
          <w:sz w:val="30"/>
          <w:szCs w:val="30"/>
          <w:shd w:val="clear" w:color="auto" w:fill="FFFFFF"/>
        </w:rPr>
      </w:pPr>
    </w:p>
    <w:p>
      <w:pPr>
        <w:pStyle w:val="4"/>
        <w:widowControl/>
        <w:shd w:val="clear" w:color="auto" w:fill="FFFFFF"/>
        <w:spacing w:before="0" w:beforeAutospacing="0" w:after="0" w:afterAutospacing="0" w:line="560" w:lineRule="exact"/>
        <w:ind w:firstLine="316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会议费报销时,应当提供会议审批文件、会议通知及实际参会人员名单、定点饭店（</w:t>
      </w:r>
      <w:r>
        <w:rPr>
          <w:rFonts w:hint="eastAsia" w:ascii="仿宋" w:hAnsi="仿宋" w:eastAsia="仿宋" w:cs="仿宋"/>
          <w:color w:val="auto"/>
          <w:sz w:val="32"/>
          <w:szCs w:val="32"/>
          <w:lang w:val="en-US" w:eastAsia="zh-CN"/>
        </w:rPr>
        <w:t>定点饭店目录见山东省财政厅</w:t>
      </w:r>
      <w:r>
        <w:rPr>
          <w:rFonts w:hint="eastAsia" w:ascii="仿宋" w:hAnsi="仿宋" w:eastAsia="仿宋" w:cs="仿宋"/>
          <w:color w:val="auto"/>
          <w:sz w:val="32"/>
          <w:szCs w:val="32"/>
          <w:lang w:eastAsia="zh-CN"/>
        </w:rPr>
        <w:t>政府采购网站</w:t>
      </w:r>
      <w:r>
        <w:rPr>
          <w:rFonts w:hint="eastAsia" w:ascii="仿宋" w:hAnsi="仿宋" w:eastAsia="仿宋" w:cs="仿宋"/>
          <w:color w:val="auto"/>
          <w:sz w:val="32"/>
          <w:szCs w:val="32"/>
        </w:rPr>
        <w:t>）等会议服务单位提供的费用原始明细单据、电子结算单等凭证。</w:t>
      </w:r>
    </w:p>
    <w:p>
      <w:pPr>
        <w:ind w:firstLine="570"/>
        <w:jc w:val="left"/>
        <w:rPr>
          <w:rFonts w:hint="eastAsia" w:ascii="宋体" w:hAnsi="宋体" w:cs="宋体"/>
          <w:b/>
          <w:bCs/>
          <w:sz w:val="32"/>
          <w:szCs w:val="32"/>
        </w:rPr>
      </w:pPr>
      <w:r>
        <w:rPr>
          <w:rFonts w:hint="eastAsia" w:ascii="宋体" w:hAnsi="宋体" w:cs="宋体"/>
          <w:b/>
          <w:bCs/>
          <w:sz w:val="32"/>
          <w:szCs w:val="32"/>
        </w:rPr>
        <w:t>八、培训费</w:t>
      </w:r>
    </w:p>
    <w:p>
      <w:pPr>
        <w:widowControl/>
        <w:shd w:val="clear" w:color="auto" w:fill="FFFFFF"/>
        <w:adjustRightInd w:val="0"/>
        <w:snapToGrid w:val="0"/>
        <w:spacing w:line="560" w:lineRule="exact"/>
        <w:ind w:firstLine="31680" w:firstLineChars="200"/>
        <w:jc w:val="left"/>
        <w:rPr>
          <w:rFonts w:ascii="??_GB2312" w:hAnsi="??_GB2312" w:eastAsia="Times New Roman" w:cs="Times New Roman"/>
          <w:kern w:val="0"/>
          <w:sz w:val="30"/>
          <w:szCs w:val="30"/>
          <w:shd w:val="clear" w:color="auto" w:fill="FFFFFF"/>
        </w:rPr>
      </w:pPr>
      <w:r>
        <w:rPr>
          <w:rFonts w:hint="eastAsia" w:ascii="仿宋" w:hAnsi="仿宋" w:eastAsia="仿宋" w:cs="仿宋"/>
          <w:kern w:val="0"/>
          <w:sz w:val="32"/>
          <w:szCs w:val="32"/>
          <w:shd w:val="clear" w:color="auto" w:fill="FFFFFF"/>
        </w:rPr>
        <w:t>举办</w:t>
      </w:r>
      <w:r>
        <w:rPr>
          <w:rFonts w:hint="eastAsia" w:ascii="仿宋" w:hAnsi="仿宋" w:eastAsia="仿宋" w:cs="仿宋"/>
          <w:kern w:val="0"/>
          <w:sz w:val="32"/>
          <w:szCs w:val="32"/>
          <w:shd w:val="clear" w:color="auto" w:fill="FFFFFF"/>
          <w:lang w:eastAsia="zh-CN"/>
        </w:rPr>
        <w:t>培训</w:t>
      </w:r>
      <w:r>
        <w:rPr>
          <w:rFonts w:hint="eastAsia" w:ascii="仿宋" w:hAnsi="仿宋" w:eastAsia="仿宋" w:cs="仿宋"/>
          <w:kern w:val="0"/>
          <w:sz w:val="32"/>
          <w:szCs w:val="32"/>
          <w:shd w:val="clear" w:color="auto" w:fill="FFFFFF"/>
        </w:rPr>
        <w:t>按照《关于转发《山东省省直机关会议费管理办法》及《山东省省直机关培训费管理办法》的通知》（鲁理工大党办发〔2014〕11号）执行，培训费由党委组织部、人事处、山东省职教师资培训中心等分别归口管理。培训</w:t>
      </w:r>
      <w:r>
        <w:rPr>
          <w:rFonts w:hint="eastAsia" w:ascii="仿宋" w:hAnsi="仿宋" w:eastAsia="仿宋" w:cs="仿宋"/>
          <w:kern w:val="0"/>
          <w:sz w:val="32"/>
          <w:szCs w:val="32"/>
          <w:shd w:val="clear" w:color="auto" w:fill="FFFFFF"/>
          <w:lang w:eastAsia="zh-CN"/>
        </w:rPr>
        <w:t>费</w:t>
      </w:r>
      <w:r>
        <w:rPr>
          <w:rFonts w:hint="eastAsia" w:ascii="仿宋" w:hAnsi="仿宋" w:eastAsia="仿宋" w:cs="仿宋"/>
          <w:kern w:val="0"/>
          <w:sz w:val="32"/>
          <w:szCs w:val="32"/>
          <w:shd w:val="clear" w:color="auto" w:fill="FFFFFF"/>
        </w:rPr>
        <w:t>实行综合定额标准，分项核定、总额控制。综合定额标准如下：</w:t>
      </w:r>
      <w:r>
        <w:rPr>
          <w:rFonts w:ascii="??_GB2312" w:hAnsi="??_GB2312" w:eastAsia="Times New Roman" w:cs="Times New Roman"/>
          <w:kern w:val="0"/>
          <w:sz w:val="32"/>
          <w:szCs w:val="32"/>
          <w:shd w:val="clear" w:color="auto" w:fill="FFFFFF"/>
        </w:rPr>
        <w:t xml:space="preserve">  </w:t>
      </w:r>
      <w:r>
        <w:rPr>
          <w:rFonts w:ascii="??_GB2312" w:hAnsi="??_GB2312" w:eastAsia="Times New Roman" w:cs="Times New Roman"/>
          <w:kern w:val="0"/>
          <w:sz w:val="30"/>
          <w:szCs w:val="30"/>
          <w:shd w:val="clear" w:color="auto" w:fill="FFFFFF"/>
        </w:rPr>
        <w:t xml:space="preserve">                           </w:t>
      </w:r>
    </w:p>
    <w:p>
      <w:pPr>
        <w:widowControl/>
        <w:shd w:val="clear" w:color="auto" w:fill="FFFFFF"/>
        <w:adjustRightInd w:val="0"/>
        <w:snapToGrid w:val="0"/>
        <w:spacing w:line="560" w:lineRule="exact"/>
        <w:ind w:firstLine="31680" w:firstLineChars="200"/>
        <w:jc w:val="left"/>
        <w:rPr>
          <w:rFonts w:ascii="??_GB2312" w:hAnsi="??_GB2312" w:eastAsia="Times New Roman" w:cs="Times New Roman"/>
          <w:sz w:val="30"/>
          <w:szCs w:val="30"/>
        </w:rPr>
      </w:pPr>
      <w:r>
        <w:rPr>
          <w:rFonts w:hint="eastAsia" w:ascii="宋体" w:hAnsi="宋体" w:cs="宋体"/>
          <w:kern w:val="0"/>
          <w:sz w:val="30"/>
          <w:szCs w:val="30"/>
          <w:shd w:val="clear" w:color="auto" w:fill="FFFFFF"/>
          <w:lang w:val="en-US" w:eastAsia="zh-CN"/>
        </w:rPr>
        <w:t xml:space="preserve">                                   </w:t>
      </w:r>
      <w:r>
        <w:rPr>
          <w:rFonts w:hint="eastAsia" w:ascii="宋体" w:hAnsi="宋体" w:cs="宋体"/>
          <w:kern w:val="0"/>
          <w:sz w:val="30"/>
          <w:szCs w:val="30"/>
          <w:shd w:val="clear" w:color="auto" w:fill="FFFFFF"/>
        </w:rPr>
        <w:t>单位：元</w:t>
      </w:r>
      <w:r>
        <w:rPr>
          <w:rFonts w:ascii="??_GB2312" w:hAnsi="??_GB2312" w:eastAsia="Times New Roman" w:cs="Times New Roman"/>
          <w:kern w:val="0"/>
          <w:sz w:val="30"/>
          <w:szCs w:val="30"/>
          <w:shd w:val="clear" w:color="auto" w:fill="FFFFFF"/>
        </w:rPr>
        <w:t>/</w:t>
      </w:r>
      <w:r>
        <w:rPr>
          <w:rFonts w:hint="eastAsia" w:ascii="宋体" w:hAnsi="宋体" w:cs="宋体"/>
          <w:kern w:val="0"/>
          <w:sz w:val="30"/>
          <w:szCs w:val="30"/>
          <w:shd w:val="clear" w:color="auto" w:fill="FFFFFF"/>
        </w:rPr>
        <w:t>人天</w:t>
      </w:r>
    </w:p>
    <w:tbl>
      <w:tblPr>
        <w:tblStyle w:val="8"/>
        <w:tblW w:w="8100" w:type="dxa"/>
        <w:jc w:val="center"/>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440"/>
        <w:gridCol w:w="1620"/>
        <w:gridCol w:w="25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tcPr>
          <w:p>
            <w:pPr>
              <w:widowControl/>
              <w:adjustRightInd w:val="0"/>
              <w:snapToGrid w:val="0"/>
              <w:spacing w:line="560" w:lineRule="exact"/>
              <w:ind w:right="31680" w:rightChars="50"/>
              <w:jc w:val="center"/>
              <w:rPr>
                <w:rFonts w:ascii="??_GB2312" w:hAnsi="??_GB2312" w:eastAsia="Times New Roman" w:cs="Times New Roman"/>
                <w:sz w:val="30"/>
                <w:szCs w:val="30"/>
              </w:rPr>
            </w:pPr>
            <w:r>
              <w:rPr>
                <w:rFonts w:hint="eastAsia" w:ascii="宋体" w:hAnsi="宋体" w:cs="宋体"/>
                <w:kern w:val="0"/>
                <w:sz w:val="30"/>
                <w:szCs w:val="30"/>
              </w:rPr>
              <w:t>住宿费</w:t>
            </w:r>
          </w:p>
        </w:tc>
        <w:tc>
          <w:tcPr>
            <w:tcW w:w="1440" w:type="dxa"/>
          </w:tcPr>
          <w:p>
            <w:pPr>
              <w:widowControl/>
              <w:adjustRightInd w:val="0"/>
              <w:snapToGrid w:val="0"/>
              <w:spacing w:line="560" w:lineRule="exact"/>
              <w:ind w:right="31680" w:rightChars="50"/>
              <w:jc w:val="center"/>
              <w:rPr>
                <w:rFonts w:ascii="??_GB2312" w:hAnsi="??_GB2312" w:eastAsia="Times New Roman" w:cs="Times New Roman"/>
                <w:sz w:val="30"/>
                <w:szCs w:val="30"/>
              </w:rPr>
            </w:pPr>
            <w:r>
              <w:rPr>
                <w:rFonts w:hint="eastAsia" w:ascii="宋体" w:hAnsi="宋体" w:cs="宋体"/>
                <w:kern w:val="0"/>
                <w:sz w:val="30"/>
                <w:szCs w:val="30"/>
              </w:rPr>
              <w:t>伙食费</w:t>
            </w:r>
          </w:p>
        </w:tc>
        <w:tc>
          <w:tcPr>
            <w:tcW w:w="1620" w:type="dxa"/>
          </w:tcPr>
          <w:p>
            <w:pPr>
              <w:widowControl/>
              <w:adjustRightInd w:val="0"/>
              <w:snapToGrid w:val="0"/>
              <w:spacing w:line="560" w:lineRule="exact"/>
              <w:ind w:right="31680" w:rightChars="50"/>
              <w:jc w:val="center"/>
              <w:rPr>
                <w:rFonts w:ascii="??_GB2312" w:hAnsi="??_GB2312" w:eastAsia="Times New Roman" w:cs="Times New Roman"/>
                <w:sz w:val="30"/>
                <w:szCs w:val="30"/>
              </w:rPr>
            </w:pPr>
            <w:r>
              <w:rPr>
                <w:rFonts w:hint="eastAsia" w:ascii="宋体" w:hAnsi="宋体" w:cs="宋体"/>
                <w:kern w:val="0"/>
                <w:sz w:val="30"/>
                <w:szCs w:val="30"/>
              </w:rPr>
              <w:t>场地费和讲课费</w:t>
            </w:r>
          </w:p>
        </w:tc>
        <w:tc>
          <w:tcPr>
            <w:tcW w:w="2520" w:type="dxa"/>
          </w:tcPr>
          <w:p>
            <w:pPr>
              <w:widowControl/>
              <w:adjustRightInd w:val="0"/>
              <w:snapToGrid w:val="0"/>
              <w:spacing w:line="560" w:lineRule="exact"/>
              <w:ind w:right="31680" w:rightChars="50"/>
              <w:jc w:val="center"/>
              <w:rPr>
                <w:rFonts w:ascii="??_GB2312" w:hAnsi="??_GB2312" w:eastAsia="Times New Roman" w:cs="Times New Roman"/>
                <w:sz w:val="30"/>
                <w:szCs w:val="30"/>
              </w:rPr>
            </w:pPr>
            <w:r>
              <w:rPr>
                <w:rFonts w:hint="eastAsia" w:ascii="宋体" w:hAnsi="宋体" w:cs="宋体"/>
                <w:kern w:val="0"/>
                <w:sz w:val="30"/>
                <w:szCs w:val="30"/>
              </w:rPr>
              <w:t>资料费、交通费和其他费用</w:t>
            </w:r>
          </w:p>
        </w:tc>
        <w:tc>
          <w:tcPr>
            <w:tcW w:w="1080" w:type="dxa"/>
          </w:tcPr>
          <w:p>
            <w:pPr>
              <w:widowControl/>
              <w:adjustRightInd w:val="0"/>
              <w:snapToGrid w:val="0"/>
              <w:spacing w:line="560" w:lineRule="exact"/>
              <w:ind w:right="31680" w:rightChars="50"/>
              <w:jc w:val="center"/>
              <w:rPr>
                <w:rFonts w:ascii="??_GB2312" w:hAnsi="??_GB2312" w:eastAsia="Times New Roman" w:cs="Times New Roman"/>
                <w:sz w:val="30"/>
                <w:szCs w:val="30"/>
              </w:rPr>
            </w:pPr>
            <w:r>
              <w:rPr>
                <w:rFonts w:hint="eastAsia" w:ascii="宋体" w:hAnsi="宋体" w:cs="宋体"/>
                <w:kern w:val="0"/>
                <w:sz w:val="30"/>
                <w:szCs w:val="30"/>
              </w:rPr>
              <w:t>合</w:t>
            </w:r>
            <w:r>
              <w:rPr>
                <w:rFonts w:hint="eastAsia" w:ascii="宋体" w:hAnsi="宋体" w:cs="宋体"/>
                <w:kern w:val="0"/>
                <w:sz w:val="30"/>
                <w:szCs w:val="30"/>
                <w:lang w:val="en-US" w:eastAsia="zh-CN"/>
              </w:rPr>
              <w:t xml:space="preserve">                     </w:t>
            </w:r>
            <w:r>
              <w:rPr>
                <w:rFonts w:hint="eastAsia" w:ascii="宋体" w:hAnsi="宋体" w:cs="宋体"/>
                <w:kern w:val="0"/>
                <w:sz w:val="30"/>
                <w:szCs w:val="30"/>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tcPr>
          <w:p>
            <w:pPr>
              <w:widowControl/>
              <w:adjustRightInd w:val="0"/>
              <w:snapToGrid w:val="0"/>
              <w:spacing w:line="560" w:lineRule="exact"/>
              <w:ind w:right="31680" w:rightChars="50"/>
              <w:jc w:val="center"/>
              <w:rPr>
                <w:rFonts w:ascii="??_GB2312" w:hAnsi="??_GB2312" w:eastAsia="Times New Roman" w:cs="Times New Roman"/>
                <w:sz w:val="30"/>
                <w:szCs w:val="30"/>
              </w:rPr>
            </w:pPr>
            <w:r>
              <w:rPr>
                <w:rFonts w:ascii="??_GB2312" w:hAnsi="??_GB2312" w:eastAsia="Times New Roman" w:cs="Times New Roman"/>
                <w:kern w:val="0"/>
                <w:sz w:val="30"/>
                <w:szCs w:val="30"/>
              </w:rPr>
              <w:t>160</w:t>
            </w:r>
          </w:p>
        </w:tc>
        <w:tc>
          <w:tcPr>
            <w:tcW w:w="1440" w:type="dxa"/>
          </w:tcPr>
          <w:p>
            <w:pPr>
              <w:widowControl/>
              <w:adjustRightInd w:val="0"/>
              <w:snapToGrid w:val="0"/>
              <w:spacing w:line="560" w:lineRule="exact"/>
              <w:ind w:right="31680" w:rightChars="50"/>
              <w:jc w:val="center"/>
              <w:rPr>
                <w:rFonts w:ascii="??_GB2312" w:hAnsi="??_GB2312" w:eastAsia="Times New Roman" w:cs="Times New Roman"/>
                <w:sz w:val="30"/>
                <w:szCs w:val="30"/>
              </w:rPr>
            </w:pPr>
            <w:r>
              <w:rPr>
                <w:rFonts w:ascii="??_GB2312" w:hAnsi="??_GB2312" w:eastAsia="Times New Roman" w:cs="Times New Roman"/>
                <w:kern w:val="0"/>
                <w:sz w:val="30"/>
                <w:szCs w:val="30"/>
              </w:rPr>
              <w:t>100</w:t>
            </w:r>
          </w:p>
        </w:tc>
        <w:tc>
          <w:tcPr>
            <w:tcW w:w="1620" w:type="dxa"/>
          </w:tcPr>
          <w:p>
            <w:pPr>
              <w:widowControl/>
              <w:adjustRightInd w:val="0"/>
              <w:snapToGrid w:val="0"/>
              <w:spacing w:line="560" w:lineRule="exact"/>
              <w:ind w:right="31680" w:rightChars="50"/>
              <w:jc w:val="center"/>
              <w:rPr>
                <w:rFonts w:ascii="??_GB2312" w:hAnsi="??_GB2312" w:eastAsia="Times New Roman" w:cs="Times New Roman"/>
                <w:sz w:val="30"/>
                <w:szCs w:val="30"/>
              </w:rPr>
            </w:pPr>
            <w:r>
              <w:rPr>
                <w:rFonts w:ascii="??_GB2312" w:hAnsi="??_GB2312" w:eastAsia="Times New Roman" w:cs="Times New Roman"/>
                <w:kern w:val="0"/>
                <w:sz w:val="30"/>
                <w:szCs w:val="30"/>
              </w:rPr>
              <w:t>90</w:t>
            </w:r>
          </w:p>
        </w:tc>
        <w:tc>
          <w:tcPr>
            <w:tcW w:w="2520" w:type="dxa"/>
          </w:tcPr>
          <w:p>
            <w:pPr>
              <w:widowControl/>
              <w:adjustRightInd w:val="0"/>
              <w:snapToGrid w:val="0"/>
              <w:spacing w:line="560" w:lineRule="exact"/>
              <w:ind w:right="31680" w:rightChars="50"/>
              <w:jc w:val="center"/>
              <w:rPr>
                <w:rFonts w:ascii="??_GB2312" w:hAnsi="??_GB2312" w:eastAsia="Times New Roman" w:cs="Times New Roman"/>
                <w:sz w:val="30"/>
                <w:szCs w:val="30"/>
              </w:rPr>
            </w:pPr>
            <w:r>
              <w:rPr>
                <w:rFonts w:ascii="??_GB2312" w:hAnsi="??_GB2312" w:eastAsia="Times New Roman" w:cs="Times New Roman"/>
                <w:kern w:val="0"/>
                <w:sz w:val="30"/>
                <w:szCs w:val="30"/>
              </w:rPr>
              <w:t>50</w:t>
            </w:r>
          </w:p>
        </w:tc>
        <w:tc>
          <w:tcPr>
            <w:tcW w:w="1080" w:type="dxa"/>
          </w:tcPr>
          <w:p>
            <w:pPr>
              <w:widowControl/>
              <w:adjustRightInd w:val="0"/>
              <w:snapToGrid w:val="0"/>
              <w:spacing w:line="560" w:lineRule="exact"/>
              <w:ind w:right="31680" w:rightChars="50"/>
              <w:jc w:val="center"/>
              <w:rPr>
                <w:rFonts w:ascii="??_GB2312" w:hAnsi="??_GB2312" w:eastAsia="Times New Roman" w:cs="Times New Roman"/>
                <w:sz w:val="30"/>
                <w:szCs w:val="30"/>
              </w:rPr>
            </w:pPr>
            <w:r>
              <w:rPr>
                <w:rFonts w:ascii="??_GB2312" w:hAnsi="??_GB2312" w:eastAsia="Times New Roman" w:cs="Times New Roman"/>
                <w:kern w:val="0"/>
                <w:sz w:val="30"/>
                <w:szCs w:val="30"/>
              </w:rPr>
              <w:t>400</w:t>
            </w:r>
          </w:p>
        </w:tc>
      </w:tr>
    </w:tbl>
    <w:p>
      <w:pPr>
        <w:widowControl/>
        <w:shd w:val="clear" w:color="auto" w:fill="FFFFFF"/>
        <w:adjustRightInd w:val="0"/>
        <w:snapToGrid w:val="0"/>
        <w:spacing w:line="560" w:lineRule="exact"/>
        <w:ind w:right="31680" w:rightChars="50" w:firstLine="570"/>
        <w:jc w:val="left"/>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报销培训费应当提供培训通知、实际参训人员签到表、讲课费签收单以及培训机构出具的原始明细单据、电子结算单等凭证，对未履行审批备案程序的培训以及超范围、超标准开支的费用不予报销。</w:t>
      </w:r>
    </w:p>
    <w:p>
      <w:pPr>
        <w:ind w:firstLine="570"/>
        <w:jc w:val="left"/>
        <w:rPr>
          <w:rFonts w:hint="eastAsia" w:ascii="宋体" w:hAnsi="宋体" w:cs="宋体"/>
          <w:b/>
          <w:bCs/>
          <w:sz w:val="32"/>
          <w:szCs w:val="32"/>
        </w:rPr>
      </w:pPr>
      <w:r>
        <w:rPr>
          <w:rFonts w:hint="eastAsia" w:ascii="宋体" w:hAnsi="宋体" w:cs="宋体"/>
          <w:b/>
          <w:bCs/>
          <w:sz w:val="32"/>
          <w:szCs w:val="32"/>
        </w:rPr>
        <w:t>九、公务接待费</w:t>
      </w:r>
    </w:p>
    <w:p>
      <w:pPr>
        <w:pStyle w:val="4"/>
        <w:widowControl/>
        <w:shd w:val="clear" w:color="auto" w:fill="FFFFFF"/>
        <w:spacing w:before="0" w:beforeAutospacing="0" w:after="0" w:afterAutospacing="0" w:line="560" w:lineRule="exact"/>
        <w:ind w:firstLine="31680" w:firstLineChars="200"/>
        <w:rPr>
          <w:rFonts w:hint="eastAsia" w:ascii="仿宋" w:hAnsi="仿宋" w:eastAsia="仿宋" w:cs="仿宋"/>
          <w:kern w:val="2"/>
          <w:sz w:val="32"/>
          <w:szCs w:val="32"/>
        </w:rPr>
      </w:pPr>
      <w:r>
        <w:rPr>
          <w:rFonts w:hint="eastAsia" w:ascii="仿宋" w:hAnsi="仿宋" w:eastAsia="仿宋" w:cs="仿宋"/>
          <w:sz w:val="32"/>
          <w:szCs w:val="32"/>
          <w:shd w:val="clear" w:color="auto" w:fill="FFFFFF"/>
        </w:rPr>
        <w:t>公务接待费执行关于印发《山东理工大学国内公务接待管理办法》的通知，</w:t>
      </w:r>
      <w:r>
        <w:rPr>
          <w:rFonts w:hint="eastAsia" w:ascii="仿宋" w:hAnsi="仿宋" w:eastAsia="仿宋" w:cs="仿宋"/>
          <w:kern w:val="2"/>
          <w:sz w:val="32"/>
          <w:szCs w:val="32"/>
        </w:rPr>
        <w:t>鲁理工大党办发〔2014〕4号和</w:t>
      </w:r>
      <w:r>
        <w:rPr>
          <w:rFonts w:hint="eastAsia" w:ascii="仿宋" w:hAnsi="仿宋" w:eastAsia="仿宋" w:cs="仿宋"/>
          <w:sz w:val="32"/>
          <w:szCs w:val="32"/>
          <w:shd w:val="clear" w:color="auto" w:fill="FFFFFF"/>
        </w:rPr>
        <w:t>关于印发《&lt;山东理工大学国内公务接待管理办法&gt;补充规定》的通知，</w:t>
      </w:r>
      <w:r>
        <w:rPr>
          <w:rFonts w:hint="eastAsia" w:ascii="仿宋" w:hAnsi="仿宋" w:eastAsia="仿宋" w:cs="仿宋"/>
          <w:kern w:val="2"/>
          <w:sz w:val="32"/>
          <w:szCs w:val="32"/>
        </w:rPr>
        <w:t>鲁理工大党办发〔2015〕3号及关于印发《山东理工大学外事接待管理办法》的通知，鲁理工大办发〔2014〕4号。</w:t>
      </w:r>
    </w:p>
    <w:p>
      <w:pPr>
        <w:pStyle w:val="4"/>
        <w:widowControl/>
        <w:shd w:val="clear" w:color="auto" w:fill="FFFFFF"/>
        <w:spacing w:before="0" w:beforeAutospacing="0" w:after="0" w:afterAutospacing="0" w:line="560" w:lineRule="exact"/>
        <w:ind w:firstLine="31680" w:firstLineChars="200"/>
        <w:rPr>
          <w:rFonts w:hint="eastAsia" w:ascii="楷体" w:hAnsi="楷体" w:eastAsia="楷体" w:cs="楷体"/>
          <w:b/>
          <w:bCs/>
          <w:color w:val="auto"/>
          <w:kern w:val="2"/>
          <w:sz w:val="30"/>
          <w:szCs w:val="30"/>
          <w:lang w:eastAsia="zh-CN"/>
        </w:rPr>
      </w:pPr>
      <w:r>
        <w:rPr>
          <w:rFonts w:hint="eastAsia" w:ascii="楷体" w:hAnsi="楷体" w:eastAsia="楷体" w:cs="楷体"/>
          <w:b/>
          <w:bCs/>
          <w:color w:val="auto"/>
          <w:kern w:val="2"/>
          <w:sz w:val="30"/>
          <w:szCs w:val="30"/>
          <w:lang w:eastAsia="zh-CN"/>
        </w:rPr>
        <w:t>特别提示</w:t>
      </w:r>
    </w:p>
    <w:p>
      <w:pPr>
        <w:pStyle w:val="4"/>
        <w:widowControl/>
        <w:shd w:val="clear" w:color="auto" w:fill="FFFFFF"/>
        <w:spacing w:before="0" w:beforeAutospacing="0" w:after="0" w:afterAutospacing="0" w:line="560" w:lineRule="exact"/>
        <w:ind w:firstLine="31680" w:firstLineChars="200"/>
        <w:rPr>
          <w:rFonts w:hint="eastAsia" w:ascii="楷体" w:hAnsi="楷体" w:eastAsia="楷体" w:cs="楷体"/>
          <w:b/>
          <w:bCs/>
          <w:color w:val="auto"/>
          <w:sz w:val="30"/>
          <w:szCs w:val="30"/>
        </w:rPr>
      </w:pPr>
      <w:r>
        <w:rPr>
          <w:rFonts w:hint="eastAsia" w:ascii="楷体" w:hAnsi="楷体" w:eastAsia="楷体" w:cs="楷体"/>
          <w:b/>
          <w:bCs/>
          <w:color w:val="auto"/>
          <w:kern w:val="2"/>
          <w:sz w:val="30"/>
          <w:szCs w:val="30"/>
          <w:lang w:val="en-US" w:eastAsia="zh-CN"/>
        </w:rPr>
        <w:t>1、</w:t>
      </w:r>
      <w:r>
        <w:rPr>
          <w:rFonts w:hint="eastAsia" w:ascii="楷体" w:hAnsi="楷体" w:eastAsia="楷体" w:cs="楷体"/>
          <w:b/>
          <w:bCs/>
          <w:color w:val="auto"/>
          <w:sz w:val="30"/>
          <w:szCs w:val="30"/>
        </w:rPr>
        <w:t>接待费报销凭证应当包括财务票据、派出单位公函（邀请函、访问函、会议通知等证明公务活动的有关材料）、公务接待审批单和接待清单等；由横向科研经费支出的接待费用执行此办法；外宾接待费报销凭证应当包括财务票据、外事接待计划和接待清单等。</w:t>
      </w:r>
    </w:p>
    <w:p>
      <w:pPr>
        <w:pStyle w:val="4"/>
        <w:widowControl/>
        <w:shd w:val="clear" w:color="auto" w:fill="FFFFFF"/>
        <w:spacing w:before="0" w:beforeAutospacing="0" w:after="0" w:afterAutospacing="0" w:line="560" w:lineRule="exact"/>
        <w:ind w:firstLine="31680" w:firstLineChars="200"/>
        <w:rPr>
          <w:rFonts w:hint="eastAsia" w:ascii="楷体" w:hAnsi="楷体" w:eastAsia="楷体" w:cs="楷体"/>
          <w:b/>
          <w:bCs/>
          <w:color w:val="auto"/>
          <w:sz w:val="30"/>
          <w:szCs w:val="30"/>
        </w:rPr>
      </w:pPr>
      <w:r>
        <w:rPr>
          <w:rFonts w:hint="eastAsia" w:ascii="楷体" w:hAnsi="楷体" w:eastAsia="楷体" w:cs="楷体"/>
          <w:b/>
          <w:bCs/>
          <w:color w:val="auto"/>
          <w:sz w:val="30"/>
          <w:szCs w:val="30"/>
          <w:lang w:val="en-US" w:eastAsia="zh-CN"/>
        </w:rPr>
        <w:t>2、</w:t>
      </w:r>
      <w:r>
        <w:rPr>
          <w:rFonts w:hint="eastAsia" w:ascii="楷体" w:hAnsi="楷体" w:eastAsia="楷体" w:cs="楷体"/>
          <w:b/>
          <w:bCs/>
          <w:color w:val="auto"/>
          <w:sz w:val="30"/>
          <w:szCs w:val="30"/>
        </w:rPr>
        <w:t>职能部门因工作需要</w:t>
      </w:r>
      <w:r>
        <w:rPr>
          <w:rFonts w:hint="eastAsia" w:ascii="楷体" w:hAnsi="楷体" w:eastAsia="楷体" w:cs="楷体"/>
          <w:b/>
          <w:bCs/>
          <w:color w:val="auto"/>
          <w:sz w:val="32"/>
          <w:szCs w:val="32"/>
        </w:rPr>
        <w:t>组织集体活动而购买的盒饭等不作为公务接待，但需注明事由、人数及标准</w:t>
      </w: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rPr>
        <w:t>购买</w:t>
      </w:r>
      <w:r>
        <w:rPr>
          <w:rFonts w:hint="eastAsia" w:ascii="楷体" w:hAnsi="楷体" w:eastAsia="楷体" w:cs="楷体"/>
          <w:b/>
          <w:bCs/>
          <w:color w:val="auto"/>
          <w:sz w:val="32"/>
          <w:szCs w:val="32"/>
          <w:lang w:val="en-US" w:eastAsia="zh-CN"/>
        </w:rPr>
        <w:t>合理的</w:t>
      </w:r>
      <w:r>
        <w:rPr>
          <w:rFonts w:hint="eastAsia" w:ascii="楷体" w:hAnsi="楷体" w:eastAsia="楷体" w:cs="楷体"/>
          <w:b/>
          <w:bCs/>
          <w:color w:val="auto"/>
          <w:sz w:val="32"/>
          <w:szCs w:val="32"/>
        </w:rPr>
        <w:t>办公用茶可从业务经费支出，为外国专家来校讲课必备生活条件购置的生活用品不作为公务接待。</w:t>
      </w:r>
    </w:p>
    <w:p>
      <w:pPr>
        <w:ind w:firstLine="570"/>
        <w:jc w:val="left"/>
        <w:rPr>
          <w:rFonts w:hint="eastAsia" w:ascii="宋体" w:hAnsi="宋体" w:cs="宋体"/>
          <w:b/>
          <w:bCs/>
          <w:sz w:val="32"/>
          <w:szCs w:val="32"/>
        </w:rPr>
      </w:pPr>
      <w:r>
        <w:rPr>
          <w:rFonts w:hint="eastAsia" w:ascii="宋体" w:hAnsi="宋体" w:cs="宋体"/>
          <w:b/>
          <w:bCs/>
          <w:sz w:val="32"/>
          <w:szCs w:val="32"/>
        </w:rPr>
        <w:t>十、劳务费</w:t>
      </w:r>
    </w:p>
    <w:p>
      <w:pPr>
        <w:widowControl/>
        <w:shd w:val="solid" w:color="FFFFFF" w:fill="auto"/>
        <w:adjustRightInd w:val="0"/>
        <w:snapToGrid w:val="0"/>
        <w:spacing w:line="560" w:lineRule="exact"/>
        <w:ind w:firstLine="640"/>
        <w:jc w:val="left"/>
        <w:rPr>
          <w:rFonts w:hint="eastAsia" w:ascii="仿宋" w:hAnsi="仿宋" w:eastAsia="仿宋" w:cs="仿宋"/>
          <w:color w:val="auto"/>
          <w:sz w:val="32"/>
          <w:szCs w:val="32"/>
        </w:rPr>
      </w:pPr>
      <w:r>
        <w:rPr>
          <w:rFonts w:hint="eastAsia" w:ascii="仿宋" w:hAnsi="仿宋" w:eastAsia="仿宋" w:cs="仿宋"/>
          <w:color w:val="auto"/>
          <w:kern w:val="0"/>
          <w:sz w:val="32"/>
          <w:szCs w:val="32"/>
          <w:shd w:val="clear" w:color="auto" w:fill="FFFFFF"/>
        </w:rPr>
        <w:t>依据有关规定发放给个人的劳务性费用，使用统一的《劳务费发放明细表》，按照国家税法规定缴纳个人所得税。学校职工和学生一律通过银行卡发放，校外人员一般也要通过银行卡发放。《劳务费发放明细表》中姓名、单位、身份证号码等信息要真实、完整，否则，不予报销。未通过银行卡发放的劳务性费用必须由本人在“领取人签字”处签字。</w:t>
      </w:r>
    </w:p>
    <w:p>
      <w:pPr>
        <w:pStyle w:val="4"/>
        <w:widowControl/>
        <w:shd w:val="clear" w:color="auto" w:fill="FFFFFF"/>
        <w:spacing w:before="0" w:beforeAutospacing="0" w:after="0" w:afterAutospacing="0" w:line="560" w:lineRule="exact"/>
        <w:ind w:firstLine="31680" w:firstLineChars="200"/>
        <w:rPr>
          <w:rFonts w:hint="eastAsia" w:ascii="楷体" w:hAnsi="楷体" w:eastAsia="楷体" w:cs="楷体"/>
          <w:b/>
          <w:bCs/>
          <w:color w:val="auto"/>
          <w:kern w:val="2"/>
          <w:sz w:val="30"/>
          <w:szCs w:val="30"/>
          <w:lang w:eastAsia="zh-CN"/>
        </w:rPr>
      </w:pPr>
      <w:r>
        <w:rPr>
          <w:rFonts w:hint="eastAsia" w:ascii="仿宋" w:hAnsi="仿宋" w:eastAsia="仿宋" w:cs="仿宋"/>
          <w:color w:val="auto"/>
          <w:kern w:val="0"/>
          <w:sz w:val="32"/>
          <w:szCs w:val="32"/>
        </w:rPr>
        <w:t xml:space="preserve"> </w:t>
      </w:r>
      <w:r>
        <w:rPr>
          <w:rFonts w:hint="eastAsia" w:ascii="楷体" w:hAnsi="楷体" w:eastAsia="楷体" w:cs="楷体"/>
          <w:b/>
          <w:bCs/>
          <w:color w:val="auto"/>
          <w:kern w:val="2"/>
          <w:sz w:val="30"/>
          <w:szCs w:val="30"/>
          <w:lang w:eastAsia="zh-CN"/>
        </w:rPr>
        <w:t>特别提示</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楷体" w:hAnsi="楷体" w:eastAsia="楷体" w:cs="楷体"/>
          <w:b/>
          <w:bCs/>
          <w:color w:val="auto"/>
          <w:sz w:val="32"/>
          <w:szCs w:val="32"/>
        </w:rPr>
      </w:pPr>
      <w:r>
        <w:rPr>
          <w:rFonts w:hint="eastAsia" w:ascii="楷体" w:hAnsi="楷体" w:eastAsia="楷体" w:cs="楷体"/>
          <w:b/>
          <w:bCs/>
          <w:color w:val="auto"/>
          <w:kern w:val="0"/>
          <w:sz w:val="32"/>
          <w:szCs w:val="32"/>
        </w:rPr>
        <w:t xml:space="preserve"> </w:t>
      </w:r>
      <w:r>
        <w:rPr>
          <w:rFonts w:hint="eastAsia" w:ascii="楷体" w:hAnsi="楷体" w:eastAsia="楷体" w:cs="楷体"/>
          <w:b/>
          <w:bCs/>
          <w:color w:val="auto"/>
          <w:kern w:val="0"/>
          <w:sz w:val="32"/>
          <w:szCs w:val="32"/>
          <w:lang w:val="en-US" w:eastAsia="zh-CN"/>
        </w:rPr>
        <w:t>1、</w:t>
      </w:r>
      <w:r>
        <w:rPr>
          <w:rFonts w:hint="eastAsia" w:ascii="楷体" w:hAnsi="楷体" w:eastAsia="楷体" w:cs="楷体"/>
          <w:b/>
          <w:bCs/>
          <w:color w:val="auto"/>
          <w:kern w:val="0"/>
          <w:sz w:val="32"/>
          <w:szCs w:val="32"/>
        </w:rPr>
        <w:t>严格控制发放标准。校外专家讲学费发放标准（税后）：</w:t>
      </w:r>
    </w:p>
    <w:p>
      <w:pPr>
        <w:widowControl/>
        <w:adjustRightInd w:val="0"/>
        <w:snapToGrid w:val="0"/>
        <w:spacing w:line="560" w:lineRule="exact"/>
        <w:ind w:firstLine="31680" w:firstLineChars="200"/>
        <w:jc w:val="left"/>
        <w:rPr>
          <w:rFonts w:hint="eastAsia" w:ascii="楷体" w:hAnsi="楷体" w:eastAsia="楷体" w:cs="楷体"/>
          <w:b/>
          <w:bCs/>
          <w:color w:val="auto"/>
          <w:sz w:val="32"/>
          <w:szCs w:val="32"/>
        </w:rPr>
      </w:pPr>
      <w:r>
        <w:rPr>
          <w:rFonts w:hint="eastAsia" w:ascii="楷体" w:hAnsi="楷体" w:eastAsia="楷体" w:cs="楷体"/>
          <w:b/>
          <w:bCs/>
          <w:color w:val="auto"/>
          <w:kern w:val="0"/>
          <w:sz w:val="32"/>
          <w:szCs w:val="32"/>
        </w:rPr>
        <w:t>（1）副高级技术职称专业人员每半天最高不超过1000元；</w:t>
      </w:r>
    </w:p>
    <w:p>
      <w:pPr>
        <w:widowControl/>
        <w:adjustRightInd w:val="0"/>
        <w:snapToGrid w:val="0"/>
        <w:spacing w:line="560" w:lineRule="exact"/>
        <w:ind w:firstLine="31680" w:firstLineChars="200"/>
        <w:jc w:val="left"/>
        <w:rPr>
          <w:rFonts w:hint="eastAsia" w:ascii="楷体" w:hAnsi="楷体" w:eastAsia="楷体" w:cs="楷体"/>
          <w:b/>
          <w:bCs/>
          <w:color w:val="auto"/>
          <w:sz w:val="32"/>
          <w:szCs w:val="32"/>
        </w:rPr>
      </w:pPr>
      <w:r>
        <w:rPr>
          <w:rFonts w:hint="eastAsia" w:ascii="楷体" w:hAnsi="楷体" w:eastAsia="楷体" w:cs="楷体"/>
          <w:b/>
          <w:bCs/>
          <w:color w:val="auto"/>
          <w:kern w:val="0"/>
          <w:sz w:val="32"/>
          <w:szCs w:val="32"/>
        </w:rPr>
        <w:t>（2）正高级技术职称专业人员每半天最高不超过2000元；</w:t>
      </w:r>
    </w:p>
    <w:p>
      <w:pPr>
        <w:widowControl/>
        <w:adjustRightInd w:val="0"/>
        <w:snapToGrid w:val="0"/>
        <w:spacing w:line="560" w:lineRule="exact"/>
        <w:ind w:firstLine="31680" w:firstLineChars="200"/>
        <w:jc w:val="left"/>
        <w:rPr>
          <w:rFonts w:hint="eastAsia" w:ascii="楷体" w:hAnsi="楷体" w:eastAsia="楷体" w:cs="楷体"/>
          <w:b/>
          <w:bCs/>
          <w:color w:val="auto"/>
          <w:sz w:val="32"/>
          <w:szCs w:val="32"/>
        </w:rPr>
      </w:pPr>
      <w:r>
        <w:rPr>
          <w:rFonts w:hint="eastAsia" w:ascii="楷体" w:hAnsi="楷体" w:eastAsia="楷体" w:cs="楷体"/>
          <w:b/>
          <w:bCs/>
          <w:color w:val="auto"/>
          <w:kern w:val="0"/>
          <w:sz w:val="32"/>
          <w:szCs w:val="32"/>
        </w:rPr>
        <w:t>（3）院士、全国知名专家每半天最高不超过3000元。</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楷体" w:hAnsi="楷体" w:eastAsia="楷体" w:cs="楷体"/>
          <w:b/>
          <w:bCs/>
          <w:color w:val="auto"/>
          <w:sz w:val="32"/>
          <w:szCs w:val="32"/>
        </w:rPr>
      </w:pPr>
      <w:r>
        <w:rPr>
          <w:rFonts w:hint="eastAsia" w:ascii="楷体" w:hAnsi="楷体" w:eastAsia="楷体" w:cs="楷体"/>
          <w:b/>
          <w:bCs/>
          <w:color w:val="auto"/>
          <w:kern w:val="0"/>
          <w:sz w:val="32"/>
          <w:szCs w:val="32"/>
          <w:lang w:val="en-US" w:eastAsia="zh-CN"/>
        </w:rPr>
        <w:t>2、</w:t>
      </w:r>
      <w:r>
        <w:rPr>
          <w:rFonts w:hint="eastAsia" w:ascii="楷体" w:hAnsi="楷体" w:eastAsia="楷体" w:cs="楷体"/>
          <w:b/>
          <w:bCs/>
          <w:color w:val="auto"/>
          <w:kern w:val="0"/>
          <w:sz w:val="32"/>
          <w:szCs w:val="32"/>
        </w:rPr>
        <w:t>校内专家讲学和评审费，按照相同级别标准的50%发放。</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楷体" w:hAnsi="楷体" w:eastAsia="楷体" w:cs="楷体"/>
          <w:b/>
          <w:bCs/>
          <w:color w:val="auto"/>
          <w:sz w:val="32"/>
          <w:szCs w:val="32"/>
        </w:rPr>
      </w:pPr>
      <w:r>
        <w:rPr>
          <w:rFonts w:hint="eastAsia" w:ascii="楷体" w:hAnsi="楷体" w:eastAsia="楷体" w:cs="楷体"/>
          <w:b/>
          <w:bCs/>
          <w:color w:val="auto"/>
          <w:sz w:val="32"/>
          <w:szCs w:val="32"/>
          <w:lang w:val="en-US" w:eastAsia="zh-CN"/>
        </w:rPr>
        <w:t>3、</w:t>
      </w:r>
      <w:r>
        <w:rPr>
          <w:rFonts w:hint="eastAsia" w:ascii="楷体" w:hAnsi="楷体" w:eastAsia="楷体" w:cs="楷体"/>
          <w:b/>
          <w:bCs/>
          <w:color w:val="auto"/>
          <w:sz w:val="32"/>
          <w:szCs w:val="32"/>
        </w:rPr>
        <w:t>实行专家讲学与评审费用备案审批。除职称评审、科研项目评审与结题验收评审、学生答辩及学位论文评审等学校常规工作外，其余各类专家讲学或评审实行备案审批。</w:t>
      </w:r>
      <w:r>
        <w:rPr>
          <w:rFonts w:hint="eastAsia" w:ascii="楷体" w:hAnsi="楷体" w:eastAsia="楷体" w:cs="楷体"/>
          <w:b/>
          <w:bCs/>
          <w:color w:val="auto"/>
          <w:sz w:val="32"/>
          <w:szCs w:val="32"/>
          <w:lang w:eastAsia="zh-CN"/>
        </w:rPr>
        <w:t>经业务主管部门同意组织的讲学评审活动，可附学校（学院）办公系统通知，不再填报备案审批表。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楷体" w:hAnsi="楷体" w:eastAsia="楷体" w:cs="楷体"/>
          <w:b/>
          <w:bCs/>
          <w:color w:val="auto"/>
          <w:sz w:val="32"/>
          <w:szCs w:val="32"/>
        </w:rPr>
      </w:pPr>
      <w:r>
        <w:rPr>
          <w:rFonts w:hint="eastAsia" w:ascii="楷体" w:hAnsi="楷体" w:eastAsia="楷体" w:cs="楷体"/>
          <w:b/>
          <w:bCs/>
          <w:color w:val="auto"/>
          <w:sz w:val="32"/>
          <w:szCs w:val="32"/>
          <w:lang w:val="en-US" w:eastAsia="zh-CN"/>
        </w:rPr>
        <w:t>4、</w:t>
      </w:r>
      <w:r>
        <w:rPr>
          <w:rFonts w:hint="eastAsia" w:ascii="楷体" w:hAnsi="楷体" w:eastAsia="楷体" w:cs="楷体"/>
          <w:b/>
          <w:bCs/>
          <w:color w:val="auto"/>
          <w:sz w:val="32"/>
          <w:szCs w:val="32"/>
        </w:rPr>
        <w:t>临时用工、兼课酬金按照工资薪金计算纳税。临时用工必须提供用工协议或用工说明进行备案。</w:t>
      </w:r>
    </w:p>
    <w:p>
      <w:pPr>
        <w:widowControl/>
        <w:adjustRightInd w:val="0"/>
        <w:snapToGrid w:val="0"/>
        <w:spacing w:line="560" w:lineRule="exact"/>
        <w:ind w:firstLine="31680" w:firstLineChars="200"/>
        <w:jc w:val="left"/>
        <w:rPr>
          <w:rFonts w:hint="eastAsia" w:ascii="楷体" w:hAnsi="楷体" w:eastAsia="楷体" w:cs="楷体"/>
          <w:b/>
          <w:bCs/>
          <w:color w:val="auto"/>
          <w:kern w:val="0"/>
          <w:sz w:val="32"/>
          <w:szCs w:val="32"/>
        </w:rPr>
      </w:pPr>
      <w:r>
        <w:rPr>
          <w:rFonts w:hint="eastAsia" w:ascii="楷体" w:hAnsi="楷体" w:eastAsia="楷体" w:cs="楷体"/>
          <w:b/>
          <w:bCs/>
          <w:color w:val="auto"/>
          <w:kern w:val="0"/>
          <w:sz w:val="32"/>
          <w:szCs w:val="32"/>
          <w:lang w:val="en-US" w:eastAsia="zh-CN"/>
        </w:rPr>
        <w:t>5、</w:t>
      </w:r>
      <w:r>
        <w:rPr>
          <w:rFonts w:hint="eastAsia" w:ascii="楷体" w:hAnsi="楷体" w:eastAsia="楷体" w:cs="楷体"/>
          <w:b/>
          <w:bCs/>
          <w:color w:val="auto"/>
          <w:kern w:val="0"/>
          <w:sz w:val="32"/>
          <w:szCs w:val="32"/>
        </w:rPr>
        <w:t>根据《山东理工大学绩效工资实施办法》（鲁理工大政发〔2015〕7号）第二条绩效工资的界定，“绩效工资实施后，各部门、单位不允许以任何借口、任何名义、任何方式自立名目发放津贴补贴”。各部门、单位的各种加班费、劳务费等均纳入全年奖励绩效工资总额之内。</w:t>
      </w:r>
    </w:p>
    <w:p>
      <w:pPr>
        <w:ind w:firstLine="570"/>
        <w:jc w:val="left"/>
        <w:rPr>
          <w:rFonts w:hint="eastAsia" w:ascii="宋体" w:hAnsi="宋体" w:cs="宋体"/>
          <w:b/>
          <w:bCs/>
          <w:sz w:val="32"/>
          <w:szCs w:val="32"/>
        </w:rPr>
      </w:pPr>
      <w:r>
        <w:rPr>
          <w:rFonts w:hint="eastAsia" w:ascii="宋体" w:hAnsi="宋体" w:cs="宋体"/>
          <w:b/>
          <w:bCs/>
          <w:sz w:val="32"/>
          <w:szCs w:val="32"/>
        </w:rPr>
        <w:t>十一、固定资产</w:t>
      </w:r>
    </w:p>
    <w:p>
      <w:pPr>
        <w:widowControl/>
        <w:adjustRightInd w:val="0"/>
        <w:snapToGrid w:val="0"/>
        <w:spacing w:line="560" w:lineRule="exact"/>
        <w:ind w:firstLine="3168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固定资产是指高等学校持有的使用期限1年(不含1）年、单位价值在</w:t>
      </w:r>
      <w:r>
        <w:rPr>
          <w:rFonts w:hint="eastAsia" w:ascii="仿宋" w:hAnsi="仿宋" w:eastAsia="仿宋" w:cs="仿宋"/>
          <w:color w:val="auto"/>
          <w:kern w:val="0"/>
          <w:sz w:val="32"/>
          <w:szCs w:val="32"/>
          <w:lang w:val="en-US" w:eastAsia="zh-CN"/>
        </w:rPr>
        <w:t>1000元（含1000元）</w:t>
      </w:r>
      <w:r>
        <w:rPr>
          <w:rFonts w:hint="eastAsia" w:ascii="仿宋" w:hAnsi="仿宋" w:eastAsia="仿宋" w:cs="仿宋"/>
          <w:color w:val="auto"/>
          <w:kern w:val="0"/>
          <w:sz w:val="32"/>
          <w:szCs w:val="32"/>
        </w:rPr>
        <w:t>以上，并在使用过程中基本保持原有物质形态的资产。单位价值虽未达到规定标准，但使用期限超过1年（不含1年）的大批同类物资，作为固定资产核算和管理。报销前需办理固定资产入库手续的资产。</w:t>
      </w:r>
    </w:p>
    <w:p>
      <w:pPr>
        <w:widowControl/>
        <w:adjustRightInd w:val="0"/>
        <w:snapToGrid w:val="0"/>
        <w:spacing w:line="560" w:lineRule="exact"/>
        <w:ind w:firstLine="3168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1</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家具类资产不论单价多少均需办理固定资产入库手续。</w:t>
      </w:r>
    </w:p>
    <w:p>
      <w:pPr>
        <w:widowControl/>
        <w:adjustRightInd w:val="0"/>
        <w:snapToGrid w:val="0"/>
        <w:spacing w:line="560" w:lineRule="exact"/>
        <w:ind w:firstLine="3168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2</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图书类资产除在教学、科研课题经费报销外，不论单价多少均需办理图书入库手续。</w:t>
      </w:r>
    </w:p>
    <w:p>
      <w:pPr>
        <w:widowControl/>
        <w:adjustRightInd w:val="0"/>
        <w:snapToGrid w:val="0"/>
        <w:spacing w:line="560" w:lineRule="exact"/>
        <w:ind w:firstLine="3168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横向课题经费为对方单位购置设备，须在发票上注明合同编号及条款内容及对方单位出具的资产入库证明。</w:t>
      </w:r>
    </w:p>
    <w:p>
      <w:pPr>
        <w:widowControl/>
        <w:adjustRightInd w:val="0"/>
        <w:snapToGrid w:val="0"/>
        <w:spacing w:line="560" w:lineRule="exact"/>
        <w:ind w:firstLine="3168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4、</w:t>
      </w:r>
      <w:r>
        <w:rPr>
          <w:rFonts w:hint="eastAsia" w:ascii="仿宋" w:hAnsi="仿宋" w:eastAsia="仿宋" w:cs="仿宋"/>
          <w:color w:val="auto"/>
          <w:kern w:val="0"/>
          <w:sz w:val="32"/>
          <w:szCs w:val="32"/>
        </w:rPr>
        <w:t>固定资产报销需提供的材料:</w:t>
      </w:r>
    </w:p>
    <w:p>
      <w:pPr>
        <w:widowControl/>
        <w:adjustRightInd w:val="0"/>
        <w:snapToGrid w:val="0"/>
        <w:spacing w:line="560" w:lineRule="exact"/>
        <w:ind w:firstLine="3168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（1）购物发票</w:t>
      </w:r>
    </w:p>
    <w:p>
      <w:pPr>
        <w:widowControl/>
        <w:adjustRightInd w:val="0"/>
        <w:snapToGrid w:val="0"/>
        <w:spacing w:line="560" w:lineRule="exact"/>
        <w:ind w:firstLine="3168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（2)固定资产验收单</w:t>
      </w:r>
    </w:p>
    <w:p>
      <w:pPr>
        <w:widowControl/>
        <w:adjustRightInd w:val="0"/>
        <w:snapToGrid w:val="0"/>
        <w:spacing w:line="560" w:lineRule="exact"/>
        <w:ind w:firstLine="3168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xml:space="preserve"> (3)物资领用验收单</w:t>
      </w:r>
    </w:p>
    <w:p>
      <w:pPr>
        <w:widowControl/>
        <w:adjustRightInd w:val="0"/>
        <w:snapToGrid w:val="0"/>
        <w:spacing w:line="560" w:lineRule="exact"/>
        <w:ind w:firstLine="3168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xml:space="preserve"> (4)合同或协议</w:t>
      </w:r>
    </w:p>
    <w:p>
      <w:pPr>
        <w:widowControl/>
        <w:adjustRightInd w:val="0"/>
        <w:snapToGrid w:val="0"/>
        <w:spacing w:line="560" w:lineRule="exact"/>
        <w:ind w:firstLine="31680" w:firstLineChars="200"/>
        <w:jc w:val="left"/>
        <w:rPr>
          <w:rFonts w:hint="eastAsia" w:ascii="楷体" w:hAnsi="楷体" w:eastAsia="楷体" w:cs="楷体"/>
          <w:b/>
          <w:bCs/>
          <w:color w:val="auto"/>
          <w:kern w:val="0"/>
          <w:sz w:val="32"/>
          <w:szCs w:val="32"/>
        </w:rPr>
      </w:pPr>
      <w:r>
        <w:rPr>
          <w:rFonts w:hint="eastAsia" w:ascii="楷体" w:hAnsi="楷体" w:eastAsia="楷体" w:cs="楷体"/>
          <w:b/>
          <w:bCs/>
          <w:color w:val="auto"/>
          <w:kern w:val="0"/>
          <w:sz w:val="32"/>
          <w:szCs w:val="32"/>
        </w:rPr>
        <w:t>学校预算分配的各项计划中，如学科研究经费、教学研究等，学院日常运行经费、部门业务经费、职能经费，除明确可以进行条件建设的经费，其他</w:t>
      </w:r>
      <w:r>
        <w:rPr>
          <w:rFonts w:hint="eastAsia" w:ascii="楷体" w:hAnsi="楷体" w:eastAsia="楷体" w:cs="楷体"/>
          <w:b/>
          <w:bCs/>
          <w:color w:val="auto"/>
          <w:kern w:val="0"/>
          <w:sz w:val="32"/>
          <w:szCs w:val="32"/>
          <w:lang w:eastAsia="zh-CN"/>
        </w:rPr>
        <w:t>项目</w:t>
      </w:r>
      <w:r>
        <w:rPr>
          <w:rFonts w:hint="eastAsia" w:ascii="楷体" w:hAnsi="楷体" w:eastAsia="楷体" w:cs="楷体"/>
          <w:b/>
          <w:bCs/>
          <w:color w:val="auto"/>
          <w:kern w:val="0"/>
          <w:sz w:val="32"/>
          <w:szCs w:val="32"/>
        </w:rPr>
        <w:t>不得购置固定资产。</w:t>
      </w:r>
    </w:p>
    <w:p>
      <w:pPr>
        <w:widowControl/>
        <w:numPr>
          <w:ilvl w:val="0"/>
          <w:numId w:val="7"/>
        </w:numPr>
        <w:adjustRightInd w:val="0"/>
        <w:snapToGrid w:val="0"/>
        <w:spacing w:line="560" w:lineRule="exact"/>
        <w:ind w:firstLine="31680" w:firstLineChars="200"/>
        <w:jc w:val="left"/>
        <w:rPr>
          <w:rFonts w:ascii="??_GB2312" w:hAnsi="??_GB2312" w:eastAsia="Times New Roman" w:cs="Times New Roman"/>
          <w:b/>
          <w:bCs/>
          <w:kern w:val="0"/>
          <w:sz w:val="30"/>
          <w:szCs w:val="30"/>
        </w:rPr>
      </w:pPr>
      <w:r>
        <w:rPr>
          <w:rFonts w:hint="eastAsia" w:ascii="宋体" w:hAnsi="宋体" w:cs="宋体"/>
          <w:b/>
          <w:bCs/>
          <w:sz w:val="32"/>
          <w:szCs w:val="32"/>
        </w:rPr>
        <w:t>设备或建筑物维修费</w:t>
      </w:r>
    </w:p>
    <w:p>
      <w:pPr>
        <w:widowControl/>
        <w:adjustRightInd w:val="0"/>
        <w:snapToGrid w:val="0"/>
        <w:spacing w:line="560" w:lineRule="exact"/>
        <w:ind w:firstLine="3168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修缮工程项目办理报销时，除办理规定报销手续外，单项工程造价在1万元以上，或未经公开招标（抢修工程），或经招标后按定额结算的工程应附审计报告，对标的金额已确定的招标项目应附立项审批表</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合同及验收证明。</w:t>
      </w:r>
    </w:p>
    <w:p>
      <w:pPr>
        <w:widowControl/>
        <w:adjustRightInd w:val="0"/>
        <w:snapToGrid w:val="0"/>
        <w:spacing w:line="560" w:lineRule="exact"/>
        <w:ind w:firstLine="31680" w:firstLineChars="200"/>
        <w:jc w:val="left"/>
        <w:rPr>
          <w:rFonts w:hint="eastAsia" w:ascii="仿宋" w:hAnsi="仿宋" w:eastAsia="仿宋" w:cs="仿宋"/>
          <w:color w:val="auto"/>
          <w:kern w:val="0"/>
          <w:sz w:val="30"/>
          <w:szCs w:val="30"/>
        </w:rPr>
      </w:pPr>
      <w:r>
        <w:rPr>
          <w:rFonts w:hint="eastAsia" w:ascii="仿宋" w:hAnsi="仿宋" w:eastAsia="仿宋" w:cs="仿宋"/>
          <w:color w:val="auto"/>
          <w:kern w:val="0"/>
          <w:sz w:val="32"/>
          <w:szCs w:val="32"/>
        </w:rPr>
        <w:t>教学仪器设备维修需附“仪器设备维修申报表”。</w:t>
      </w:r>
    </w:p>
    <w:p>
      <w:pPr>
        <w:widowControl/>
        <w:numPr>
          <w:ilvl w:val="0"/>
          <w:numId w:val="7"/>
        </w:numPr>
        <w:adjustRightInd w:val="0"/>
        <w:snapToGrid w:val="0"/>
        <w:spacing w:line="560" w:lineRule="exact"/>
        <w:ind w:firstLine="31680" w:firstLineChars="200"/>
        <w:jc w:val="left"/>
        <w:rPr>
          <w:rFonts w:hint="eastAsia" w:ascii="宋体" w:hAnsi="宋体" w:cs="宋体"/>
          <w:b/>
          <w:bCs/>
          <w:kern w:val="0"/>
          <w:sz w:val="30"/>
          <w:szCs w:val="30"/>
        </w:rPr>
      </w:pPr>
      <w:r>
        <w:rPr>
          <w:rFonts w:hint="eastAsia" w:ascii="宋体" w:hAnsi="宋体" w:cs="宋体"/>
          <w:b/>
          <w:bCs/>
          <w:sz w:val="32"/>
          <w:szCs w:val="32"/>
        </w:rPr>
        <w:t>实行结算过程特殊情况审批制</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hint="eastAsia" w:ascii="仿宋" w:hAnsi="仿宋" w:eastAsia="仿宋" w:cs="仿宋"/>
          <w:b w:val="0"/>
          <w:bCs w:val="0"/>
          <w:kern w:val="0"/>
          <w:sz w:val="32"/>
          <w:szCs w:val="32"/>
          <w:lang w:eastAsia="zh-CN"/>
        </w:rPr>
      </w:pPr>
      <w:r>
        <w:rPr>
          <w:rFonts w:hint="eastAsia" w:ascii="仿宋" w:hAnsi="仿宋" w:eastAsia="仿宋" w:cs="仿宋"/>
          <w:b w:val="0"/>
          <w:bCs w:val="0"/>
          <w:kern w:val="0"/>
          <w:sz w:val="32"/>
          <w:szCs w:val="32"/>
          <w:lang w:eastAsia="zh-CN"/>
        </w:rPr>
        <w:t>考虑到部分业务的特殊性，为明确事项的背景、原因、政策适用性及经济责任，对以下事项实行审批。</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未按规定使用公务卡（银行转账）结算。</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大额现金借款</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10000元以上</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票据</w:t>
      </w:r>
      <w:r>
        <w:rPr>
          <w:rFonts w:hint="eastAsia" w:ascii="仿宋" w:hAnsi="仿宋" w:eastAsia="仿宋" w:cs="仿宋"/>
          <w:kern w:val="0"/>
          <w:sz w:val="32"/>
          <w:szCs w:val="32"/>
          <w:shd w:val="clear" w:color="auto" w:fill="FFFFFF"/>
        </w:rPr>
        <w:t>丢失</w:t>
      </w:r>
      <w:r>
        <w:rPr>
          <w:rFonts w:hint="eastAsia" w:ascii="仿宋" w:hAnsi="仿宋" w:eastAsia="仿宋" w:cs="仿宋"/>
          <w:kern w:val="0"/>
          <w:sz w:val="32"/>
          <w:szCs w:val="32"/>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大型</w:t>
      </w:r>
      <w:r>
        <w:rPr>
          <w:rFonts w:hint="eastAsia" w:ascii="仿宋" w:hAnsi="仿宋" w:eastAsia="仿宋" w:cs="仿宋"/>
          <w:kern w:val="0"/>
          <w:sz w:val="32"/>
          <w:szCs w:val="32"/>
          <w:shd w:val="clear" w:color="auto" w:fill="FFFFFF"/>
        </w:rPr>
        <w:t>超市</w:t>
      </w:r>
      <w:r>
        <w:rPr>
          <w:rFonts w:hint="eastAsia" w:ascii="仿宋" w:hAnsi="仿宋" w:eastAsia="仿宋" w:cs="仿宋"/>
          <w:kern w:val="0"/>
          <w:sz w:val="32"/>
          <w:szCs w:val="32"/>
        </w:rPr>
        <w:t>或异地购买办公用品（耗材）等。</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报销票据不完整。</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负担校外人员住宿费（交通费）等特殊情况。</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hint="eastAsia" w:ascii="仿宋" w:hAnsi="仿宋" w:eastAsia="仿宋" w:cs="仿宋"/>
          <w:b/>
          <w:bCs/>
          <w:kern w:val="0"/>
          <w:sz w:val="30"/>
          <w:szCs w:val="30"/>
        </w:rPr>
      </w:pPr>
      <w:r>
        <w:rPr>
          <w:rFonts w:hint="eastAsia" w:ascii="仿宋" w:hAnsi="仿宋" w:eastAsia="仿宋" w:cs="仿宋"/>
          <w:b/>
          <w:bCs/>
          <w:kern w:val="0"/>
          <w:sz w:val="30"/>
          <w:szCs w:val="30"/>
          <w:lang w:val="en-US" w:eastAsia="zh-CN"/>
        </w:rPr>
        <w:t>特别</w:t>
      </w:r>
      <w:r>
        <w:rPr>
          <w:rFonts w:hint="eastAsia" w:ascii="仿宋" w:hAnsi="仿宋" w:eastAsia="仿宋" w:cs="仿宋"/>
          <w:b/>
          <w:bCs/>
          <w:kern w:val="0"/>
          <w:sz w:val="30"/>
          <w:szCs w:val="30"/>
        </w:rPr>
        <w:t>提示：以上特殊事项要填写“山东理工大学特殊情况结算审批表”由部门、单位（或业务主管部门）负责人、分管财务工作的校领导或授权财务处长审批。</w:t>
      </w:r>
    </w:p>
    <w:p>
      <w:pPr>
        <w:widowControl/>
        <w:spacing w:line="600" w:lineRule="exact"/>
        <w:rPr>
          <w:rFonts w:ascii="??_GB2312" w:hAnsi="??_GB2312" w:eastAsia="Times New Roman" w:cs="Times New Roman"/>
          <w:kern w:val="0"/>
          <w:sz w:val="32"/>
          <w:szCs w:val="32"/>
          <w:shd w:val="clear" w:color="auto" w:fill="FFFFFF"/>
        </w:rPr>
      </w:pPr>
    </w:p>
    <w:p>
      <w:pPr>
        <w:widowControl/>
        <w:spacing w:line="600" w:lineRule="exact"/>
        <w:rPr>
          <w:rFonts w:ascii="??_GB2312" w:hAnsi="??_GB2312" w:eastAsia="Times New Roman" w:cs="Times New Roman"/>
        </w:rPr>
      </w:pPr>
    </w:p>
    <w:p>
      <w:pPr>
        <w:widowControl/>
        <w:spacing w:line="600" w:lineRule="exact"/>
        <w:rPr>
          <w:rFonts w:ascii="??_GB2312" w:hAnsi="??_GB2312" w:eastAsia="Times New Roman" w:cs="Times New Roman"/>
          <w:kern w:val="0"/>
          <w:sz w:val="32"/>
          <w:szCs w:val="32"/>
          <w:shd w:val="clear" w:color="auto" w:fill="FFFFFF"/>
        </w:rPr>
      </w:pPr>
    </w:p>
    <w:p>
      <w:pPr>
        <w:widowControl/>
        <w:rPr>
          <w:rFonts w:ascii="??_GB2312" w:hAnsi="??_GB2312" w:eastAsia="Times New Roman" w:cs="Times New Roman"/>
          <w:kern w:val="0"/>
          <w:sz w:val="32"/>
          <w:szCs w:val="32"/>
          <w:shd w:val="clear" w:color="auto" w:fill="FFFFFF"/>
        </w:rPr>
      </w:pPr>
    </w:p>
    <w:p>
      <w:pPr>
        <w:widowControl/>
        <w:rPr>
          <w:rFonts w:ascii="??_GB2312" w:hAnsi="??_GB2312" w:eastAsia="Times New Roman" w:cs="Times New Roman"/>
          <w:kern w:val="0"/>
          <w:sz w:val="32"/>
          <w:szCs w:val="32"/>
          <w:shd w:val="clear" w:color="auto" w:fill="FFFFFF"/>
        </w:rPr>
      </w:pPr>
    </w:p>
    <w:p>
      <w:pPr>
        <w:widowControl/>
        <w:rPr>
          <w:rFonts w:ascii="??_GB2312" w:hAnsi="??_GB2312" w:eastAsia="Times New Roman" w:cs="Times New Roman"/>
        </w:rPr>
      </w:pPr>
    </w:p>
    <w:p>
      <w:pPr>
        <w:widowControl/>
        <w:rPr>
          <w:rFonts w:ascii="??_GB2312" w:hAnsi="??_GB2312" w:eastAsia="Times New Roman" w:cs="Times New Roman"/>
        </w:rPr>
      </w:pPr>
    </w:p>
    <w:p>
      <w:pPr>
        <w:widowControl/>
        <w:rPr>
          <w:rFonts w:ascii="??_GB2312" w:hAnsi="??_GB2312" w:eastAsia="Times New Roman" w:cs="Times New Roman"/>
        </w:rPr>
      </w:pPr>
    </w:p>
    <w:p>
      <w:pPr>
        <w:widowControl/>
        <w:jc w:val="center"/>
        <w:rPr>
          <w:rFonts w:ascii="??_GB2312" w:hAnsi="??_GB2312" w:eastAsia="Times New Roman" w:cs="Times New Roman"/>
          <w:kern w:val="0"/>
          <w:sz w:val="32"/>
          <w:szCs w:val="32"/>
          <w:shd w:val="clear" w:color="auto" w:fill="FFFFFF"/>
        </w:rPr>
      </w:pPr>
    </w:p>
    <w:p>
      <w:pPr>
        <w:widowControl/>
        <w:jc w:val="center"/>
        <w:rPr>
          <w:rFonts w:ascii="??_GB2312" w:hAnsi="??_GB2312" w:eastAsia="Times New Roman" w:cs="Times New Roman"/>
          <w:kern w:val="0"/>
          <w:sz w:val="32"/>
          <w:szCs w:val="32"/>
          <w:shd w:val="clear" w:color="auto" w:fill="FFFFFF"/>
        </w:rPr>
      </w:pPr>
    </w:p>
    <w:p>
      <w:pPr>
        <w:pStyle w:val="4"/>
        <w:widowControl/>
        <w:shd w:val="clear" w:color="auto" w:fill="FFFFFF"/>
        <w:spacing w:before="0" w:beforeAutospacing="0" w:after="0" w:afterAutospacing="0" w:line="560" w:lineRule="exact"/>
        <w:rPr>
          <w:rFonts w:ascii="??_GB2312" w:hAnsi="??_GB2312" w:eastAsia="Times New Roman" w:cs="Times New Roman"/>
          <w:sz w:val="32"/>
          <w:szCs w:val="32"/>
          <w:shd w:val="clear" w:color="auto" w:fill="FFFFFF"/>
        </w:rPr>
      </w:pPr>
    </w:p>
    <w:p>
      <w:pPr>
        <w:pStyle w:val="4"/>
        <w:widowControl/>
        <w:shd w:val="clear" w:color="auto" w:fill="FFFFFF"/>
        <w:spacing w:before="0" w:beforeAutospacing="0" w:after="0" w:afterAutospacing="0" w:line="560" w:lineRule="exact"/>
        <w:ind w:firstLine="645"/>
        <w:rPr>
          <w:rFonts w:ascii="??_GB2312" w:hAnsi="??_GB2312" w:eastAsia="Times New Roman" w:cs="Times New Roman"/>
          <w:sz w:val="32"/>
          <w:szCs w:val="32"/>
          <w:shd w:val="clear" w:color="auto" w:fill="FFFFFF"/>
        </w:rPr>
      </w:pPr>
    </w:p>
    <w:p>
      <w:pPr>
        <w:pStyle w:val="4"/>
        <w:widowControl/>
        <w:shd w:val="clear" w:color="auto" w:fill="FFFFFF"/>
        <w:spacing w:before="0" w:beforeAutospacing="0" w:after="0" w:afterAutospacing="0" w:line="560" w:lineRule="exact"/>
        <w:ind w:firstLine="645"/>
        <w:rPr>
          <w:rFonts w:ascii="??_GB2312" w:hAnsi="??_GB2312" w:eastAsia="Times New Roman" w:cs="Times New Roman"/>
          <w:sz w:val="31"/>
          <w:szCs w:val="31"/>
          <w:shd w:val="clear" w:color="auto" w:fill="FFFFFF"/>
        </w:rPr>
      </w:pPr>
    </w:p>
    <w:p>
      <w:pPr>
        <w:rPr>
          <w:rFonts w:ascii="??_GB2312" w:hAnsi="??_GB2312" w:eastAsia="Times New Roman" w:cs="Times New Roman"/>
          <w:kern w:val="0"/>
          <w:sz w:val="32"/>
          <w:szCs w:val="32"/>
          <w:shd w:val="clear" w:color="auto" w:fill="FFFFFF"/>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00" w:usb3="00000000" w:csb0="0004009F" w:csb1="DFD7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仿宋_GB2312">
    <w:altName w:val="仿宋"/>
    <w:panose1 w:val="02010609030101010101"/>
    <w:charset w:val="86"/>
    <w:family w:val="decorative"/>
    <w:pitch w:val="default"/>
    <w:sig w:usb0="00000000" w:usb1="0000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HGPHeiseiKakugothictaiW9">
    <w:altName w:val="MS UI Gothic"/>
    <w:panose1 w:val="020B0A00000000000000"/>
    <w:charset w:val="80"/>
    <w:family w:val="auto"/>
    <w:pitch w:val="default"/>
    <w:sig w:usb0="00000000" w:usb1="00000000" w:usb2="00000010" w:usb3="00000000" w:csb0="00020000" w:csb1="00000000"/>
  </w:font>
  <w:font w:name="华文彩云">
    <w:altName w:val="微软雅黑"/>
    <w:panose1 w:val="0201080004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MS UI Gothic">
    <w:panose1 w:val="020B0600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8C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方正兰亭超细黑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2151010">
    <w:nsid w:val="568E10E2"/>
    <w:multiLevelType w:val="singleLevel"/>
    <w:tmpl w:val="568E10E2"/>
    <w:lvl w:ilvl="0" w:tentative="1">
      <w:start w:val="12"/>
      <w:numFmt w:val="chineseCounting"/>
      <w:suff w:val="nothing"/>
      <w:lvlText w:val="%1、"/>
      <w:lvlJc w:val="left"/>
    </w:lvl>
  </w:abstractNum>
  <w:abstractNum w:abstractNumId="1456213676">
    <w:nsid w:val="56CC0EAC"/>
    <w:multiLevelType w:val="singleLevel"/>
    <w:tmpl w:val="56CC0EAC"/>
    <w:lvl w:ilvl="0" w:tentative="1">
      <w:start w:val="1"/>
      <w:numFmt w:val="decimal"/>
      <w:suff w:val="nothing"/>
      <w:lvlText w:val="（%1）"/>
      <w:lvlJc w:val="left"/>
    </w:lvl>
  </w:abstractNum>
  <w:abstractNum w:abstractNumId="1456214076">
    <w:nsid w:val="56CC103C"/>
    <w:multiLevelType w:val="singleLevel"/>
    <w:tmpl w:val="56CC103C"/>
    <w:lvl w:ilvl="0" w:tentative="1">
      <w:start w:val="5"/>
      <w:numFmt w:val="decimal"/>
      <w:suff w:val="nothing"/>
      <w:lvlText w:val="%1、"/>
      <w:lvlJc w:val="left"/>
    </w:lvl>
  </w:abstractNum>
  <w:abstractNum w:abstractNumId="1452780613">
    <w:nsid w:val="5697AC45"/>
    <w:multiLevelType w:val="singleLevel"/>
    <w:tmpl w:val="5697AC45"/>
    <w:lvl w:ilvl="0" w:tentative="1">
      <w:start w:val="1"/>
      <w:numFmt w:val="decimal"/>
      <w:suff w:val="nothing"/>
      <w:lvlText w:val="（%1）"/>
      <w:lvlJc w:val="left"/>
    </w:lvl>
  </w:abstractNum>
  <w:abstractNum w:abstractNumId="1456149265">
    <w:nsid w:val="56CB1311"/>
    <w:multiLevelType w:val="singleLevel"/>
    <w:tmpl w:val="56CB1311"/>
    <w:lvl w:ilvl="0" w:tentative="1">
      <w:start w:val="5"/>
      <w:numFmt w:val="decimal"/>
      <w:suff w:val="nothing"/>
      <w:lvlText w:val="%1、"/>
      <w:lvlJc w:val="left"/>
    </w:lvl>
  </w:abstractNum>
  <w:abstractNum w:abstractNumId="1456150013">
    <w:nsid w:val="56CB15FD"/>
    <w:multiLevelType w:val="singleLevel"/>
    <w:tmpl w:val="56CB15FD"/>
    <w:lvl w:ilvl="0" w:tentative="1">
      <w:start w:val="2"/>
      <w:numFmt w:val="decimal"/>
      <w:suff w:val="nothing"/>
      <w:lvlText w:val="%1、"/>
      <w:lvlJc w:val="left"/>
    </w:lvl>
  </w:abstractNum>
  <w:abstractNum w:abstractNumId="1452777259">
    <w:nsid w:val="56979F2B"/>
    <w:multiLevelType w:val="singleLevel"/>
    <w:tmpl w:val="56979F2B"/>
    <w:lvl w:ilvl="0" w:tentative="1">
      <w:start w:val="2"/>
      <w:numFmt w:val="decimal"/>
      <w:suff w:val="nothing"/>
      <w:lvlText w:val="%1、"/>
      <w:lvlJc w:val="left"/>
    </w:lvl>
  </w:abstractNum>
  <w:num w:numId="1">
    <w:abstractNumId w:val="1452777259"/>
  </w:num>
  <w:num w:numId="2">
    <w:abstractNumId w:val="1456213676"/>
  </w:num>
  <w:num w:numId="3">
    <w:abstractNumId w:val="1456214076"/>
  </w:num>
  <w:num w:numId="4">
    <w:abstractNumId w:val="1452780613"/>
  </w:num>
  <w:num w:numId="5">
    <w:abstractNumId w:val="1456149265"/>
  </w:num>
  <w:num w:numId="6">
    <w:abstractNumId w:val="1456150013"/>
  </w:num>
  <w:num w:numId="7">
    <w:abstractNumId w:val="14521510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2885"/>
    <w:rsid w:val="00030873"/>
    <w:rsid w:val="000626DE"/>
    <w:rsid w:val="00166A98"/>
    <w:rsid w:val="00172A27"/>
    <w:rsid w:val="001F727D"/>
    <w:rsid w:val="002148FA"/>
    <w:rsid w:val="00235316"/>
    <w:rsid w:val="002D1692"/>
    <w:rsid w:val="00396764"/>
    <w:rsid w:val="003B2909"/>
    <w:rsid w:val="003F1BBF"/>
    <w:rsid w:val="004F2405"/>
    <w:rsid w:val="004F6A29"/>
    <w:rsid w:val="006B5B1A"/>
    <w:rsid w:val="00887159"/>
    <w:rsid w:val="00975EBF"/>
    <w:rsid w:val="00A42B7F"/>
    <w:rsid w:val="00A73B85"/>
    <w:rsid w:val="00B43714"/>
    <w:rsid w:val="00BC3E11"/>
    <w:rsid w:val="00C0308D"/>
    <w:rsid w:val="00C425D7"/>
    <w:rsid w:val="00CA6477"/>
    <w:rsid w:val="00CA7325"/>
    <w:rsid w:val="00D8064A"/>
    <w:rsid w:val="00EB27D3"/>
    <w:rsid w:val="00F90357"/>
    <w:rsid w:val="02C45CFB"/>
    <w:rsid w:val="03A64317"/>
    <w:rsid w:val="03D51CC6"/>
    <w:rsid w:val="040072D7"/>
    <w:rsid w:val="04A45BAD"/>
    <w:rsid w:val="076C71F7"/>
    <w:rsid w:val="07DB449B"/>
    <w:rsid w:val="08227882"/>
    <w:rsid w:val="0B954C05"/>
    <w:rsid w:val="0C6C4E28"/>
    <w:rsid w:val="16F3611B"/>
    <w:rsid w:val="182F49ED"/>
    <w:rsid w:val="191024B9"/>
    <w:rsid w:val="19ED7CA9"/>
    <w:rsid w:val="1B9A3E6D"/>
    <w:rsid w:val="1FC5502B"/>
    <w:rsid w:val="21C119E3"/>
    <w:rsid w:val="246F7A5B"/>
    <w:rsid w:val="2C633565"/>
    <w:rsid w:val="2E3277B4"/>
    <w:rsid w:val="2E866DE4"/>
    <w:rsid w:val="2FE9304E"/>
    <w:rsid w:val="301D45B5"/>
    <w:rsid w:val="31AA2E09"/>
    <w:rsid w:val="336B4FE8"/>
    <w:rsid w:val="3389011A"/>
    <w:rsid w:val="3A0F22BD"/>
    <w:rsid w:val="3C3D6946"/>
    <w:rsid w:val="3F74738A"/>
    <w:rsid w:val="3FD9034E"/>
    <w:rsid w:val="403864A2"/>
    <w:rsid w:val="47997807"/>
    <w:rsid w:val="4D3076E7"/>
    <w:rsid w:val="4E5D62A1"/>
    <w:rsid w:val="51252275"/>
    <w:rsid w:val="51914ADE"/>
    <w:rsid w:val="555F22DB"/>
    <w:rsid w:val="55D23143"/>
    <w:rsid w:val="56801B46"/>
    <w:rsid w:val="57E868A2"/>
    <w:rsid w:val="60875A6C"/>
    <w:rsid w:val="63E66E26"/>
    <w:rsid w:val="64816DD4"/>
    <w:rsid w:val="64B2477F"/>
    <w:rsid w:val="6AB31633"/>
    <w:rsid w:val="6F140527"/>
    <w:rsid w:val="703C5B33"/>
    <w:rsid w:val="73147417"/>
    <w:rsid w:val="7510189E"/>
    <w:rsid w:val="75D543DE"/>
    <w:rsid w:val="7B4468C0"/>
    <w:rsid w:val="7E420BEF"/>
    <w:rsid w:val="7EC4141A"/>
    <w:rsid w:val="7F442DC1"/>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spacing w:before="100" w:beforeAutospacing="1" w:after="100" w:afterAutospacing="1"/>
      <w:jc w:val="left"/>
    </w:pPr>
    <w:rPr>
      <w:kern w:val="0"/>
      <w:sz w:val="24"/>
      <w:szCs w:val="24"/>
    </w:rPr>
  </w:style>
  <w:style w:type="character" w:styleId="6">
    <w:name w:val="FollowedHyperlink"/>
    <w:basedOn w:val="5"/>
    <w:qFormat/>
    <w:uiPriority w:val="99"/>
    <w:rPr>
      <w:color w:val="000000"/>
      <w:u w:val="none"/>
    </w:rPr>
  </w:style>
  <w:style w:type="character" w:styleId="7">
    <w:name w:val="Hyperlink"/>
    <w:basedOn w:val="5"/>
    <w:qFormat/>
    <w:uiPriority w:val="99"/>
    <w:rPr>
      <w:color w:val="000000"/>
      <w:u w:val="none"/>
    </w:rPr>
  </w:style>
  <w:style w:type="paragraph" w:customStyle="1" w:styleId="9">
    <w:name w:val="Default"/>
    <w:qFormat/>
    <w:uiPriority w:val="99"/>
    <w:pPr>
      <w:widowControl w:val="0"/>
      <w:autoSpaceDE w:val="0"/>
      <w:autoSpaceDN w:val="0"/>
      <w:adjustRightInd w:val="0"/>
    </w:pPr>
    <w:rPr>
      <w:rFonts w:ascii="华文仿宋" w:hAnsi="华文仿宋" w:eastAsia="宋体" w:cs="华文仿宋"/>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21</Pages>
  <Words>1517</Words>
  <Characters>8652</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2015-12-16T00:33:00Z</dcterms:created>
  <dc:creator>lenovo</dc:creator>
  <cp:lastModifiedBy>thinkpad</cp:lastModifiedBy>
  <cp:lastPrinted>2016-03-16T23:55:00Z</cp:lastPrinted>
  <dcterms:modified xsi:type="dcterms:W3CDTF">2016-04-06T00:32:20Z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