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D2AB1">
      <w:pPr>
        <w:keepNext w:val="0"/>
        <w:keepLines w:val="0"/>
        <w:pageBreakBefore w:val="0"/>
        <w:widowControl/>
        <w:suppressLineNumbers w:val="0"/>
        <w:kinsoku/>
        <w:wordWrap/>
        <w:overflowPunct/>
        <w:topLinePunct w:val="0"/>
        <w:autoSpaceDE/>
        <w:autoSpaceDN/>
        <w:bidi w:val="0"/>
        <w:adjustRightInd/>
        <w:snapToGrid/>
        <w:spacing w:before="157" w:beforeLines="50" w:after="313" w:afterLines="100"/>
        <w:jc w:val="center"/>
        <w:textAlignment w:val="auto"/>
        <w:rPr>
          <w:rStyle w:val="5"/>
          <w:rFonts w:hint="eastAsia" w:ascii="黑体" w:hAnsi="黑体" w:eastAsia="黑体" w:cs="黑体"/>
          <w:kern w:val="0"/>
          <w:sz w:val="44"/>
          <w:szCs w:val="44"/>
          <w:lang w:val="en-US" w:eastAsia="zh-CN" w:bidi="ar"/>
        </w:rPr>
      </w:pPr>
      <w:r>
        <w:rPr>
          <w:rStyle w:val="5"/>
          <w:rFonts w:hint="eastAsia" w:ascii="黑体" w:hAnsi="黑体" w:eastAsia="黑体" w:cs="黑体"/>
          <w:kern w:val="0"/>
          <w:sz w:val="44"/>
          <w:szCs w:val="44"/>
          <w:lang w:val="en-US" w:eastAsia="zh-CN" w:bidi="ar"/>
        </w:rPr>
        <w:t>智慧查询系统用户手册</w:t>
      </w:r>
    </w:p>
    <w:p w14:paraId="03338F71">
      <w:pPr>
        <w:keepNext w:val="0"/>
        <w:keepLines w:val="0"/>
        <w:widowControl/>
        <w:suppressLineNumbers w:val="0"/>
        <w:jc w:val="center"/>
        <w:rPr>
          <w:rStyle w:val="5"/>
          <w:rFonts w:hint="default" w:ascii="宋体" w:hAnsi="宋体" w:eastAsia="宋体" w:cs="宋体"/>
          <w:kern w:val="0"/>
          <w:sz w:val="24"/>
          <w:szCs w:val="24"/>
          <w:lang w:val="en-US" w:eastAsia="zh-CN" w:bidi="ar"/>
        </w:rPr>
      </w:pPr>
    </w:p>
    <w:p w14:paraId="01BC24A1">
      <w:pPr>
        <w:keepNext w:val="0"/>
        <w:keepLines w:val="0"/>
        <w:pageBreakBefore w:val="0"/>
        <w:widowControl/>
        <w:numPr>
          <w:ilvl w:val="0"/>
          <w:numId w:val="1"/>
        </w:numPr>
        <w:suppressLineNumbers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登录方式</w:t>
      </w:r>
    </w:p>
    <w:p w14:paraId="2820D460">
      <w:pPr>
        <w:keepNext w:val="0"/>
        <w:keepLines w:val="0"/>
        <w:pageBreakBefore w:val="0"/>
        <w:widowControl/>
        <w:numPr>
          <w:ilvl w:val="0"/>
          <w:numId w:val="2"/>
        </w:numPr>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rPr>
        <w:t>登录山东理工大学</w:t>
      </w:r>
      <w:r>
        <w:rPr>
          <w:rFonts w:hint="eastAsia" w:asciiTheme="minorEastAsia" w:hAnsiTheme="minorEastAsia" w:eastAsiaTheme="minorEastAsia" w:cstheme="minorEastAsia"/>
          <w:sz w:val="28"/>
          <w:szCs w:val="28"/>
          <w:lang w:val="en-US" w:eastAsia="zh-CN"/>
        </w:rPr>
        <w:t>信息门户</w:t>
      </w:r>
      <w:r>
        <w:rPr>
          <w:rFonts w:hint="eastAsia" w:asciiTheme="minorEastAsia" w:hAnsiTheme="minorEastAsia" w:eastAsiaTheme="minorEastAsia" w:cstheme="minorEastAsia"/>
          <w:sz w:val="28"/>
          <w:szCs w:val="28"/>
        </w:rPr>
        <w:t>（http://ehall.sdut.edu.cn/）</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val="en-US" w:eastAsia="zh-CN"/>
        </w:rPr>
        <w:t>如图1所示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财务系统</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cstheme="minorEastAsia"/>
          <w:sz w:val="28"/>
          <w:szCs w:val="28"/>
          <w:lang w:val="en-US" w:eastAsia="zh-CN"/>
        </w:rPr>
        <w:t>，进入智慧财务网上综合服务平台</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再将鼠标放置在左侧【智慧查询】处，从弹出的功能菜单中选择所需要查询的内容，如：“经费查询”“工资信息”“来款信息”“报销款信息”等，即可进入财务网上查询系统。</w:t>
      </w:r>
    </w:p>
    <w:p w14:paraId="18D2D160">
      <w:pPr>
        <w:keepNext w:val="0"/>
        <w:keepLines w:val="0"/>
        <w:pageBreakBefore w:val="0"/>
        <w:widowControl/>
        <w:numPr>
          <w:ilvl w:val="0"/>
          <w:numId w:val="0"/>
        </w:numPr>
        <w:suppressLineNumbers w:val="0"/>
        <w:kinsoku/>
        <w:wordWrap/>
        <w:overflowPunct/>
        <w:topLinePunct w:val="0"/>
        <w:autoSpaceDE/>
        <w:autoSpaceDN/>
        <w:bidi w:val="0"/>
        <w:adjustRightInd/>
        <w:snapToGrid/>
        <w:ind w:firstLine="280" w:firstLineChars="1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034915" cy="2253615"/>
            <wp:effectExtent l="0" t="0" r="13335" b="13335"/>
            <wp:docPr id="1" name="图片 1" descr="17552250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5225021856"/>
                    <pic:cNvPicPr>
                      <a:picLocks noChangeAspect="1"/>
                    </pic:cNvPicPr>
                  </pic:nvPicPr>
                  <pic:blipFill>
                    <a:blip r:embed="rId4"/>
                    <a:stretch>
                      <a:fillRect/>
                    </a:stretch>
                  </pic:blipFill>
                  <pic:spPr>
                    <a:xfrm>
                      <a:off x="0" y="0"/>
                      <a:ext cx="5034915" cy="2253615"/>
                    </a:xfrm>
                    <a:prstGeom prst="rect">
                      <a:avLst/>
                    </a:prstGeom>
                  </pic:spPr>
                </pic:pic>
              </a:graphicData>
            </a:graphic>
          </wp:inline>
        </w:drawing>
      </w:r>
    </w:p>
    <w:p w14:paraId="5E8A79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图1</w:t>
      </w:r>
    </w:p>
    <w:p w14:paraId="172626D8">
      <w:pPr>
        <w:keepNext w:val="0"/>
        <w:keepLines w:val="0"/>
        <w:pageBreakBefore w:val="0"/>
        <w:widowControl/>
        <w:numPr>
          <w:ilvl w:val="0"/>
          <w:numId w:val="2"/>
        </w:numPr>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在浏览器地址栏输入</w:t>
      </w:r>
      <w:r>
        <w:rPr>
          <w:rFonts w:hint="eastAsia" w:asciiTheme="minorEastAsia" w:hAnsiTheme="minorEastAsia" w:eastAsiaTheme="minorEastAsia" w:cstheme="minorEastAsia"/>
          <w:sz w:val="28"/>
          <w:szCs w:val="28"/>
        </w:rPr>
        <w:t>http://210.44.191.157:8051/login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按回车键后</w:t>
      </w:r>
      <w:r>
        <w:rPr>
          <w:rFonts w:hint="eastAsia" w:asciiTheme="minorEastAsia" w:hAnsiTheme="minorEastAsia" w:eastAsiaTheme="minorEastAsia" w:cstheme="minorEastAsia"/>
          <w:sz w:val="28"/>
          <w:szCs w:val="28"/>
        </w:rPr>
        <w:t>进入</w:t>
      </w:r>
      <w:r>
        <w:rPr>
          <w:rFonts w:hint="eastAsia" w:asciiTheme="minorEastAsia" w:hAnsiTheme="minorEastAsia" w:eastAsiaTheme="minorEastAsia" w:cstheme="minorEastAsia"/>
          <w:sz w:val="28"/>
          <w:szCs w:val="28"/>
          <w:lang w:val="en-US" w:eastAsia="zh-CN"/>
        </w:rPr>
        <w:t>智慧财务网上综合服务平台</w:t>
      </w:r>
      <w:r>
        <w:rPr>
          <w:rFonts w:hint="eastAsia" w:asciiTheme="minorEastAsia" w:hAnsiTheme="minorEastAsia" w:eastAsiaTheme="minorEastAsia" w:cstheme="minorEastAsia"/>
          <w:sz w:val="28"/>
          <w:szCs w:val="28"/>
        </w:rPr>
        <w:t>。</w:t>
      </w:r>
    </w:p>
    <w:p w14:paraId="419DAD2D">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如图2所示，依次</w:t>
      </w:r>
      <w:r>
        <w:rPr>
          <w:rFonts w:hint="eastAsia" w:asciiTheme="minorEastAsia" w:hAnsiTheme="minorEastAsia" w:eastAsiaTheme="minorEastAsia" w:cstheme="minorEastAsia"/>
          <w:sz w:val="28"/>
          <w:szCs w:val="28"/>
        </w:rPr>
        <w:t>输入用户名</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密码</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验证码，点击【登录】</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。其中：</w:t>
      </w:r>
    </w:p>
    <w:p w14:paraId="7F9F5162">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①</w:t>
      </w:r>
      <w:r>
        <w:rPr>
          <w:rFonts w:hint="eastAsia" w:asciiTheme="minorEastAsia" w:hAnsiTheme="minorEastAsia" w:eastAsiaTheme="minorEastAsia" w:cstheme="minorEastAsia"/>
          <w:sz w:val="28"/>
          <w:szCs w:val="28"/>
        </w:rPr>
        <w:t>用户名：在职教职工的用户名是工号；在校学生的用户名是学号。</w:t>
      </w:r>
    </w:p>
    <w:p w14:paraId="4372E08D">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②</w:t>
      </w:r>
      <w:r>
        <w:rPr>
          <w:rFonts w:hint="eastAsia" w:asciiTheme="minorEastAsia" w:hAnsiTheme="minorEastAsia" w:eastAsiaTheme="minorEastAsia" w:cstheme="minorEastAsia"/>
          <w:sz w:val="28"/>
          <w:szCs w:val="28"/>
        </w:rPr>
        <w:t>密码：初始密码</w:t>
      </w:r>
      <w:r>
        <w:rPr>
          <w:rFonts w:hint="eastAsia" w:asciiTheme="minorEastAsia" w:hAnsiTheme="minorEastAsia" w:cstheme="minorEastAsia"/>
          <w:sz w:val="28"/>
          <w:szCs w:val="28"/>
          <w:lang w:val="en-US" w:eastAsia="zh-CN"/>
        </w:rPr>
        <w:t>是</w:t>
      </w:r>
      <w:r>
        <w:rPr>
          <w:rFonts w:hint="eastAsia" w:asciiTheme="minorEastAsia" w:hAnsiTheme="minorEastAsia" w:eastAsiaTheme="minorEastAsia" w:cstheme="minorEastAsia"/>
          <w:sz w:val="28"/>
          <w:szCs w:val="28"/>
          <w:lang w:val="en-US" w:eastAsia="zh-CN"/>
        </w:rPr>
        <w:t>身份证后6位</w:t>
      </w:r>
    </w:p>
    <w:p w14:paraId="3A735241">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身份证尾号为“X”的，用大写的“X”；没有预留身份证号的，用实际位数的工号替代身份证后6位</w:t>
      </w:r>
      <w:r>
        <w:rPr>
          <w:rFonts w:hint="eastAsia" w:asciiTheme="minorEastAsia" w:hAnsiTheme="minorEastAsia" w:eastAsiaTheme="minorEastAsia" w:cstheme="minorEastAsia"/>
          <w:sz w:val="28"/>
          <w:szCs w:val="28"/>
        </w:rPr>
        <w:t>。</w:t>
      </w:r>
    </w:p>
    <w:p w14:paraId="48A91102">
      <w:pPr>
        <w:numPr>
          <w:ilvl w:val="0"/>
          <w:numId w:val="0"/>
        </w:num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824095" cy="2276475"/>
            <wp:effectExtent l="0" t="0" r="14605"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
                    <a:stretch>
                      <a:fillRect/>
                    </a:stretch>
                  </pic:blipFill>
                  <pic:spPr>
                    <a:xfrm>
                      <a:off x="0" y="0"/>
                      <a:ext cx="4824095" cy="2276475"/>
                    </a:xfrm>
                    <a:prstGeom prst="rect">
                      <a:avLst/>
                    </a:prstGeom>
                    <a:noFill/>
                    <a:ln>
                      <a:noFill/>
                    </a:ln>
                  </pic:spPr>
                </pic:pic>
              </a:graphicData>
            </a:graphic>
          </wp:inline>
        </w:drawing>
      </w:r>
    </w:p>
    <w:p w14:paraId="45DADFCD">
      <w:pPr>
        <w:numPr>
          <w:ilvl w:val="0"/>
          <w:numId w:val="0"/>
        </w:num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图2</w:t>
      </w:r>
    </w:p>
    <w:p w14:paraId="7C5B6897">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登录后，显示如下界面：</w:t>
      </w:r>
    </w:p>
    <w:p w14:paraId="078ADF86">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632075"/>
            <wp:effectExtent l="0" t="0" r="50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614670" cy="2632075"/>
                    </a:xfrm>
                    <a:prstGeom prst="rect">
                      <a:avLst/>
                    </a:prstGeom>
                    <a:noFill/>
                    <a:ln>
                      <a:noFill/>
                    </a:ln>
                  </pic:spPr>
                </pic:pic>
              </a:graphicData>
            </a:graphic>
          </wp:inline>
        </w:drawing>
      </w:r>
    </w:p>
    <w:p w14:paraId="0990004E">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图3</w:t>
      </w:r>
    </w:p>
    <w:p w14:paraId="4607B9E0">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sz w:val="28"/>
          <w:szCs w:val="28"/>
          <w:lang w:val="en-US" w:eastAsia="zh-CN"/>
        </w:rPr>
      </w:pPr>
    </w:p>
    <w:p w14:paraId="087FF926">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sz w:val="28"/>
          <w:szCs w:val="28"/>
          <w:lang w:val="en-US" w:eastAsia="zh-CN"/>
        </w:rPr>
      </w:pPr>
    </w:p>
    <w:p w14:paraId="68432213">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sz w:val="28"/>
          <w:szCs w:val="28"/>
          <w:lang w:val="en-US" w:eastAsia="zh-CN"/>
        </w:rPr>
      </w:pPr>
    </w:p>
    <w:p w14:paraId="7733B795">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Theme="minorEastAsia" w:hAnsiTheme="minorEastAsia" w:eastAsiaTheme="minorEastAsia" w:cstheme="minorEastAsia"/>
          <w:sz w:val="28"/>
          <w:szCs w:val="28"/>
          <w:lang w:val="en-US" w:eastAsia="zh-CN"/>
        </w:rPr>
      </w:pPr>
    </w:p>
    <w:p w14:paraId="5765EF16">
      <w:pPr>
        <w:keepNext w:val="0"/>
        <w:keepLines w:val="0"/>
        <w:pageBreakBefore w:val="0"/>
        <w:widowControl/>
        <w:numPr>
          <w:ilvl w:val="0"/>
          <w:numId w:val="1"/>
        </w:numPr>
        <w:suppressLineNumbers w:val="0"/>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具体功能模块</w:t>
      </w:r>
    </w:p>
    <w:p w14:paraId="65DC805B">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在财务网上查询系统的左侧功能列表中，主要包括7个功能模块，分别为账务总览、账务信息、工资信息、来款信息、报销款信息、部门账务信息、教职工信息。功能模块介绍具体如下。</w:t>
      </w:r>
    </w:p>
    <w:p w14:paraId="628DFD64">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账务总览</w:t>
      </w:r>
    </w:p>
    <w:p w14:paraId="47FCAEDF">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账务总览模块主要面向项目负责人，支持其便捷查询本人负责项目的财务信息，具体包括项目收支明细、项目借款记录、项目余额及凭证影像化附件等信息查询。其中：项目属性分为“个人”和“公共”两类。选择“个人”，系统将展示项目负责人本人负责的个人课题及其他个人项目；选择“公共”，系统将展示项目负责人所在部门统筹管理的且需项目负责人签字的项目。</w:t>
      </w:r>
    </w:p>
    <w:p w14:paraId="5894B06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1.项目基本信息查询 </w:t>
      </w:r>
    </w:p>
    <w:p w14:paraId="3DD66AA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进入账务总览，找到需要查询的项目，可以查看项目可用金额、冻结金额、项目余额基本情况，如图4所示。</w:t>
      </w:r>
    </w:p>
    <w:p w14:paraId="17FFF268">
      <w:pPr>
        <w:pStyle w:val="2"/>
        <w:keepNext w:val="0"/>
        <w:keepLines w:val="0"/>
        <w:widowControl/>
        <w:suppressLineNumbers w:val="0"/>
        <w:rPr>
          <w:rFonts w:hint="eastAsia" w:eastAsiaTheme="minorEastAsia"/>
          <w:lang w:eastAsia="zh-CN"/>
        </w:rPr>
      </w:pPr>
      <w:r>
        <w:rPr>
          <w:rFonts w:hint="eastAsia" w:eastAsiaTheme="minorEastAsia"/>
          <w:lang w:eastAsia="zh-CN"/>
        </w:rPr>
        <w:drawing>
          <wp:inline distT="0" distB="0" distL="114300" distR="114300">
            <wp:extent cx="5266690" cy="2332355"/>
            <wp:effectExtent l="0" t="0" r="0" b="0"/>
            <wp:docPr id="7" name="图片 7" descr="a6396f72fe8f14da6ba8ded858d9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396f72fe8f14da6ba8ded858d948f0"/>
                    <pic:cNvPicPr>
                      <a:picLocks noChangeAspect="1"/>
                    </pic:cNvPicPr>
                  </pic:nvPicPr>
                  <pic:blipFill>
                    <a:blip r:embed="rId7"/>
                    <a:srcRect b="9732"/>
                    <a:stretch>
                      <a:fillRect/>
                    </a:stretch>
                  </pic:blipFill>
                  <pic:spPr>
                    <a:xfrm>
                      <a:off x="0" y="0"/>
                      <a:ext cx="5266690" cy="2332355"/>
                    </a:xfrm>
                    <a:prstGeom prst="rect">
                      <a:avLst/>
                    </a:prstGeom>
                  </pic:spPr>
                </pic:pic>
              </a:graphicData>
            </a:graphic>
          </wp:inline>
        </w:drawing>
      </w:r>
    </w:p>
    <w:p w14:paraId="3F11A83E">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图4</w:t>
      </w:r>
    </w:p>
    <w:p w14:paraId="01941BA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2.项目明细账查询 </w:t>
      </w:r>
    </w:p>
    <w:p w14:paraId="45F8D9F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找到对应项目，点击收支，选定查询时间，点击查询，可获得项目明细账，可导出excel表格、pdf数据，如图5所示。</w:t>
      </w:r>
    </w:p>
    <w:p w14:paraId="244E5035">
      <w:pPr>
        <w:keepNext w:val="0"/>
        <w:keepLines w:val="0"/>
        <w:pageBreakBefore w:val="0"/>
        <w:widowControl/>
        <w:suppressLineNumbers w:val="0"/>
        <w:kinsoku/>
        <w:wordWrap/>
        <w:overflowPunct/>
        <w:topLinePunct w:val="0"/>
        <w:autoSpaceDE/>
        <w:autoSpaceDN/>
        <w:bidi w:val="0"/>
        <w:adjustRightInd/>
        <w:snapToGrid/>
        <w:jc w:val="center"/>
        <w:textAlignment w:val="auto"/>
      </w:pPr>
      <w:r>
        <w:drawing>
          <wp:inline distT="0" distB="0" distL="114300" distR="114300">
            <wp:extent cx="5266690" cy="182689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rcRect b="29295"/>
                    <a:stretch>
                      <a:fillRect/>
                    </a:stretch>
                  </pic:blipFill>
                  <pic:spPr>
                    <a:xfrm>
                      <a:off x="0" y="0"/>
                      <a:ext cx="5266690" cy="1826895"/>
                    </a:xfrm>
                    <a:prstGeom prst="rect">
                      <a:avLst/>
                    </a:prstGeom>
                    <a:noFill/>
                    <a:ln>
                      <a:noFill/>
                    </a:ln>
                  </pic:spPr>
                </pic:pic>
              </a:graphicData>
            </a:graphic>
          </wp:inline>
        </w:drawing>
      </w:r>
    </w:p>
    <w:p w14:paraId="267B345F">
      <w:pPr>
        <w:spacing w:line="360" w:lineRule="auto"/>
        <w:jc w:val="center"/>
        <w:rPr>
          <w:rFonts w:ascii="宋体" w:hAnsi="宋体" w:eastAsia="宋体" w:cs="宋体"/>
          <w:kern w:val="0"/>
          <w:sz w:val="24"/>
          <w:szCs w:val="24"/>
          <w:lang w:val="en-US" w:eastAsia="zh-CN" w:bidi="ar"/>
        </w:rPr>
      </w:pPr>
      <w:r>
        <w:rPr>
          <w:rFonts w:hint="eastAsia" w:asciiTheme="minorEastAsia" w:hAnsiTheme="minorEastAsia" w:eastAsiaTheme="minorEastAsia" w:cstheme="minorEastAsia"/>
          <w:sz w:val="28"/>
          <w:szCs w:val="28"/>
          <w:lang w:val="en-US" w:eastAsia="zh-CN"/>
        </w:rPr>
        <w:t>图</w:t>
      </w: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br w:type="textWrapping"/>
      </w:r>
    </w:p>
    <w:p w14:paraId="02B1B31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3.凭证影像化查询</w:t>
      </w:r>
    </w:p>
    <w:p w14:paraId="425E962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pPr>
      <w:r>
        <w:rPr>
          <w:rFonts w:hint="eastAsia" w:asciiTheme="minorEastAsia" w:hAnsiTheme="minorEastAsia" w:cstheme="minorEastAsia"/>
          <w:sz w:val="28"/>
          <w:szCs w:val="28"/>
          <w:lang w:val="en-US" w:eastAsia="zh-CN"/>
        </w:rPr>
        <w:t>找到对应项目，点击“收支”按钮，点击要查询的凭证对应的“凭证影像化”按钮，点击右上角“下载”按钮，即可下载凭证附件材料，如图6-1和6-2所示。</w:t>
      </w:r>
      <w:r>
        <w:drawing>
          <wp:inline distT="0" distB="0" distL="114300" distR="114300">
            <wp:extent cx="5266690" cy="2583815"/>
            <wp:effectExtent l="0" t="0" r="1016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66690" cy="2583815"/>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kern w:val="0"/>
          <w:sz w:val="24"/>
          <w:szCs w:val="24"/>
          <w:lang w:val="en-US" w:eastAsia="zh-CN" w:bidi="ar"/>
        </w:rPr>
        <w:t>图6-1</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drawing>
          <wp:inline distT="0" distB="0" distL="114300" distR="114300">
            <wp:extent cx="5266690" cy="238887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rcRect b="7545"/>
                    <a:stretch>
                      <a:fillRect/>
                    </a:stretch>
                  </pic:blipFill>
                  <pic:spPr>
                    <a:xfrm>
                      <a:off x="0" y="0"/>
                      <a:ext cx="5266690" cy="2388870"/>
                    </a:xfrm>
                    <a:prstGeom prst="rect">
                      <a:avLst/>
                    </a:prstGeom>
                    <a:noFill/>
                    <a:ln>
                      <a:noFill/>
                    </a:ln>
                  </pic:spPr>
                </pic:pic>
              </a:graphicData>
            </a:graphic>
          </wp:inline>
        </w:drawing>
      </w:r>
    </w:p>
    <w:p w14:paraId="62C8C2B9">
      <w:pPr>
        <w:pStyle w:val="2"/>
        <w:keepNext w:val="0"/>
        <w:keepLines w:val="0"/>
        <w:widowControl/>
        <w:suppressLineNumbers w:val="0"/>
        <w:jc w:val="center"/>
        <w:rPr>
          <w:rStyle w:val="5"/>
          <w:rFonts w:hint="eastAsia" w:ascii="宋体" w:hAnsi="宋体" w:eastAsia="宋体" w:cs="宋体"/>
          <w:kern w:val="0"/>
          <w:sz w:val="28"/>
          <w:szCs w:val="28"/>
          <w:lang w:val="en-US" w:eastAsia="zh-CN" w:bidi="ar"/>
        </w:rPr>
      </w:pPr>
      <w:r>
        <w:rPr>
          <w:rFonts w:hint="eastAsia" w:ascii="宋体" w:hAnsi="宋体" w:eastAsia="宋体" w:cs="宋体"/>
          <w:kern w:val="0"/>
          <w:sz w:val="24"/>
          <w:szCs w:val="24"/>
          <w:lang w:val="en-US" w:eastAsia="zh-CN" w:bidi="ar"/>
        </w:rPr>
        <w:t xml:space="preserve"> 图6-2</w:t>
      </w:r>
    </w:p>
    <w:p w14:paraId="7BE04BE2">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账务信息</w:t>
      </w:r>
    </w:p>
    <w:p w14:paraId="1D64D397">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点击【账务信息】，可以展开三个模块，分别是【个人往来款】、【个人借开发票查询】和【凭证影像化下载】，如图7所示。点击对应的按钮可以查询个人往来、个人借开发票，这两个功能支持导出excel表格和pdf数据，也支持打印功能。</w:t>
      </w:r>
    </w:p>
    <w:p w14:paraId="4491820B">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凭证影像化下载步骤：</w:t>
      </w:r>
    </w:p>
    <w:p w14:paraId="21FB2D66">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w:t>
      </w:r>
      <w:r>
        <w:rPr>
          <w:rFonts w:hint="default" w:asciiTheme="minorEastAsia" w:hAnsiTheme="minorEastAsia" w:cstheme="minorEastAsia"/>
          <w:sz w:val="28"/>
          <w:szCs w:val="28"/>
          <w:lang w:val="en-US" w:eastAsia="zh-CN"/>
        </w:rPr>
        <w:t>一步</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点击</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凭证影像化预下载</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按钮，选择部门项目，选择所需影像资料区间</w:t>
      </w:r>
      <w:r>
        <w:rPr>
          <w:rFonts w:hint="eastAsia" w:asciiTheme="minorEastAsia" w:hAnsiTheme="minorEastAsia" w:cstheme="minorEastAsia"/>
          <w:sz w:val="28"/>
          <w:szCs w:val="28"/>
          <w:lang w:val="en-US" w:eastAsia="zh-CN"/>
        </w:rPr>
        <w:t>；</w:t>
      </w:r>
    </w:p>
    <w:p w14:paraId="58057EEB">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w:t>
      </w:r>
      <w:r>
        <w:rPr>
          <w:rFonts w:hint="default" w:asciiTheme="minorEastAsia" w:hAnsiTheme="minorEastAsia" w:cstheme="minorEastAsia"/>
          <w:sz w:val="28"/>
          <w:szCs w:val="28"/>
          <w:lang w:val="en-US" w:eastAsia="zh-CN"/>
        </w:rPr>
        <w:t>二步：等待系统缓存，下载高峰期需要耐心等待，可点击上方</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状态刷新</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按钮，</w:t>
      </w:r>
      <w:r>
        <w:rPr>
          <w:rFonts w:hint="eastAsia" w:asciiTheme="minorEastAsia" w:hAnsiTheme="minorEastAsia" w:cstheme="minorEastAsia"/>
          <w:sz w:val="28"/>
          <w:szCs w:val="28"/>
          <w:lang w:val="en-US" w:eastAsia="zh-CN"/>
        </w:rPr>
        <w:t>查</w:t>
      </w:r>
      <w:r>
        <w:rPr>
          <w:rFonts w:hint="default" w:asciiTheme="minorEastAsia" w:hAnsiTheme="minorEastAsia" w:cstheme="minorEastAsia"/>
          <w:sz w:val="28"/>
          <w:szCs w:val="28"/>
          <w:lang w:val="en-US" w:eastAsia="zh-CN"/>
        </w:rPr>
        <w:t>看下载状况</w:t>
      </w:r>
      <w:r>
        <w:rPr>
          <w:rFonts w:hint="eastAsia" w:asciiTheme="minorEastAsia" w:hAnsiTheme="minorEastAsia" w:cstheme="minorEastAsia"/>
          <w:sz w:val="28"/>
          <w:szCs w:val="28"/>
          <w:lang w:val="en-US" w:eastAsia="zh-CN"/>
        </w:rPr>
        <w:t>；</w:t>
      </w:r>
    </w:p>
    <w:p w14:paraId="10A24973">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w:t>
      </w:r>
      <w:r>
        <w:rPr>
          <w:rFonts w:hint="default" w:asciiTheme="minorEastAsia" w:hAnsiTheme="minorEastAsia" w:cstheme="minorEastAsia"/>
          <w:sz w:val="28"/>
          <w:szCs w:val="28"/>
          <w:lang w:val="en-US" w:eastAsia="zh-CN"/>
        </w:rPr>
        <w:t>三步：点击</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查看</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按钮，进行下载查看。</w:t>
      </w:r>
    </w:p>
    <w:p w14:paraId="1E498939">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注意</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网</w:t>
      </w:r>
      <w:r>
        <w:rPr>
          <w:rFonts w:hint="default" w:asciiTheme="minorEastAsia" w:hAnsiTheme="minorEastAsia" w:cstheme="minorEastAsia"/>
          <w:sz w:val="28"/>
          <w:szCs w:val="28"/>
          <w:lang w:val="en-US" w:eastAsia="zh-CN"/>
        </w:rPr>
        <w:t>查系统将定期清理文件缓存，请您在网查系统完成下载缓存后3日内将文件下载至本地。</w:t>
      </w:r>
    </w:p>
    <w:p w14:paraId="1A22FE9C">
      <w:pPr>
        <w:keepNext w:val="0"/>
        <w:keepLines w:val="0"/>
        <w:widowControl/>
        <w:numPr>
          <w:ilvl w:val="0"/>
          <w:numId w:val="0"/>
        </w:numPr>
        <w:suppressLineNumbers w:val="0"/>
        <w:ind w:firstLine="422" w:firstLineChars="200"/>
        <w:jc w:val="left"/>
        <w:rPr>
          <w:rStyle w:val="5"/>
          <w:color w:val="000000"/>
        </w:rPr>
      </w:pPr>
    </w:p>
    <w:p w14:paraId="4D7F8145">
      <w:pPr>
        <w:keepNext w:val="0"/>
        <w:keepLines w:val="0"/>
        <w:widowControl/>
        <w:numPr>
          <w:ilvl w:val="0"/>
          <w:numId w:val="0"/>
        </w:numPr>
        <w:suppressLineNumbers w:val="0"/>
        <w:jc w:val="left"/>
      </w:pPr>
      <w:r>
        <w:drawing>
          <wp:inline distT="0" distB="0" distL="114300" distR="114300">
            <wp:extent cx="5266690" cy="189166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rcRect b="26788"/>
                    <a:stretch>
                      <a:fillRect/>
                    </a:stretch>
                  </pic:blipFill>
                  <pic:spPr>
                    <a:xfrm>
                      <a:off x="0" y="0"/>
                      <a:ext cx="5266690" cy="1891665"/>
                    </a:xfrm>
                    <a:prstGeom prst="rect">
                      <a:avLst/>
                    </a:prstGeom>
                    <a:noFill/>
                    <a:ln>
                      <a:noFill/>
                    </a:ln>
                  </pic:spPr>
                </pic:pic>
              </a:graphicData>
            </a:graphic>
          </wp:inline>
        </w:drawing>
      </w:r>
    </w:p>
    <w:p w14:paraId="118E6668">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w:t>
      </w:r>
      <w:r>
        <w:rPr>
          <w:rFonts w:hint="eastAsia" w:asciiTheme="minorEastAsia" w:hAnsiTheme="minorEastAsia" w:cstheme="minorEastAsia"/>
          <w:sz w:val="28"/>
          <w:szCs w:val="28"/>
          <w:lang w:val="en-US" w:eastAsia="zh-CN"/>
        </w:rPr>
        <w:t>7</w:t>
      </w:r>
    </w:p>
    <w:p w14:paraId="4C4D5D4F">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工资信息</w:t>
      </w:r>
    </w:p>
    <w:p w14:paraId="5DCC051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点击左侧栏【工资信息】，再点击【工薪汇总】按钮，即可查询薪资明细和其他收入明细。在右边页面选择查询年份和起止月份后，点击【查询】按钮即可。所查询数据可以表状结构、条状结构和块状结构三种形式展示，也支持导出excel、pdf和打印功能。如图8所示。</w:t>
      </w:r>
    </w:p>
    <w:p w14:paraId="2EF3A7EF">
      <w:pPr>
        <w:pStyle w:val="2"/>
        <w:keepNext w:val="0"/>
        <w:keepLines w:val="0"/>
        <w:widowControl/>
        <w:suppressLineNumbers w:val="0"/>
        <w:spacing w:after="150" w:afterAutospacing="0"/>
        <w:ind w:left="0" w:firstLine="0"/>
        <w:jc w:val="both"/>
        <w:rPr>
          <w:rFonts w:hint="eastAsia" w:eastAsiaTheme="minorEastAsia"/>
          <w:lang w:eastAsia="zh-CN"/>
        </w:rPr>
      </w:pPr>
      <w:r>
        <w:drawing>
          <wp:inline distT="0" distB="0" distL="114300" distR="114300">
            <wp:extent cx="5266690" cy="21824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rcRect b="15532"/>
                    <a:stretch>
                      <a:fillRect/>
                    </a:stretch>
                  </pic:blipFill>
                  <pic:spPr>
                    <a:xfrm>
                      <a:off x="0" y="0"/>
                      <a:ext cx="5266690" cy="2182495"/>
                    </a:xfrm>
                    <a:prstGeom prst="rect">
                      <a:avLst/>
                    </a:prstGeom>
                    <a:noFill/>
                    <a:ln>
                      <a:noFill/>
                    </a:ln>
                  </pic:spPr>
                </pic:pic>
              </a:graphicData>
            </a:graphic>
          </wp:inline>
        </w:drawing>
      </w:r>
    </w:p>
    <w:p w14:paraId="761FB23F">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图8</w:t>
      </w:r>
    </w:p>
    <w:p w14:paraId="3FA8E986">
      <w:pPr>
        <w:pStyle w:val="2"/>
        <w:keepNext w:val="0"/>
        <w:keepLines w:val="0"/>
        <w:widowControl/>
        <w:suppressLineNumbers w:val="0"/>
        <w:spacing w:after="150" w:afterAutospacing="0"/>
        <w:ind w:left="0" w:firstLine="0"/>
        <w:jc w:val="both"/>
      </w:pPr>
    </w:p>
    <w:p w14:paraId="611C2629">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来款信息</w:t>
      </w:r>
    </w:p>
    <w:p w14:paraId="18D45E9C">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依次点击左侧栏【来款信息】|【来款查询】按钮，在右侧页面上选择起止日期，点击【查询】按钮可以查询到所有来款信息。也可以通过输入到款金额、来款单位、来款类型等具体信息进行定位检索。如图9所示。</w:t>
      </w:r>
    </w:p>
    <w:p w14:paraId="3344F756">
      <w:pPr>
        <w:pStyle w:val="2"/>
        <w:keepNext w:val="0"/>
        <w:keepLines w:val="0"/>
        <w:widowControl/>
        <w:suppressLineNumbers w:val="0"/>
        <w:ind w:left="0" w:firstLine="0"/>
      </w:pPr>
      <w:r>
        <w:drawing>
          <wp:inline distT="0" distB="0" distL="114300" distR="114300">
            <wp:extent cx="5266690" cy="2238375"/>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rcRect b="13369"/>
                    <a:stretch>
                      <a:fillRect/>
                    </a:stretch>
                  </pic:blipFill>
                  <pic:spPr>
                    <a:xfrm>
                      <a:off x="0" y="0"/>
                      <a:ext cx="5266690" cy="2238375"/>
                    </a:xfrm>
                    <a:prstGeom prst="rect">
                      <a:avLst/>
                    </a:prstGeom>
                    <a:noFill/>
                    <a:ln>
                      <a:noFill/>
                    </a:ln>
                  </pic:spPr>
                </pic:pic>
              </a:graphicData>
            </a:graphic>
          </wp:inline>
        </w:drawing>
      </w:r>
    </w:p>
    <w:p w14:paraId="54428891">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w:t>
      </w:r>
      <w:r>
        <w:rPr>
          <w:rFonts w:hint="eastAsia" w:asciiTheme="minorEastAsia" w:hAnsiTheme="minorEastAsia" w:cstheme="minorEastAsia"/>
          <w:sz w:val="28"/>
          <w:szCs w:val="28"/>
          <w:lang w:val="en-US" w:eastAsia="zh-CN"/>
        </w:rPr>
        <w:t>9</w:t>
      </w:r>
    </w:p>
    <w:p w14:paraId="14ADCDB1">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报销款信息</w:t>
      </w:r>
    </w:p>
    <w:p w14:paraId="500DFF68">
      <w:pPr>
        <w:keepNext w:val="0"/>
        <w:keepLines w:val="0"/>
        <w:widowControl/>
        <w:suppressLineNumbers w:val="0"/>
        <w:jc w:val="left"/>
        <w:rPr>
          <w:rStyle w:val="5"/>
          <w:rFonts w:ascii="宋体" w:hAnsi="宋体" w:eastAsia="宋体" w:cs="宋体"/>
          <w:color w:val="FF0000"/>
          <w:spacing w:val="15"/>
          <w:kern w:val="0"/>
          <w:sz w:val="24"/>
          <w:szCs w:val="24"/>
          <w:lang w:val="en-US" w:eastAsia="zh-CN" w:bidi="ar"/>
        </w:rPr>
      </w:pPr>
    </w:p>
    <w:p w14:paraId="48CAC288">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点击【报销款信息】有两个功能模块：报销款对公查询和报销款对私查询。这里报销款对公、对私查询是财务人员进行账务处理时按照银行支付要求进行分类的。如图10所示。</w:t>
      </w:r>
    </w:p>
    <w:p w14:paraId="282C9D75">
      <w:pPr>
        <w:rPr>
          <w:rFonts w:hint="eastAsia" w:eastAsiaTheme="minorEastAsia"/>
          <w:lang w:eastAsia="zh-CN"/>
        </w:rPr>
      </w:pPr>
      <w:r>
        <w:rPr>
          <w:rFonts w:hint="eastAsia" w:eastAsiaTheme="minorEastAsia"/>
          <w:lang w:eastAsia="zh-CN"/>
        </w:rPr>
        <w:drawing>
          <wp:inline distT="0" distB="0" distL="114300" distR="114300">
            <wp:extent cx="5271135" cy="1819275"/>
            <wp:effectExtent l="0" t="0" r="5715" b="9525"/>
            <wp:docPr id="3" name="图片 3" descr="82a23ea9-491d-4276-b41c-c3cacb74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2a23ea9-491d-4276-b41c-c3cacb74af10"/>
                    <pic:cNvPicPr>
                      <a:picLocks noChangeAspect="1"/>
                    </pic:cNvPicPr>
                  </pic:nvPicPr>
                  <pic:blipFill>
                    <a:blip r:embed="rId14"/>
                    <a:stretch>
                      <a:fillRect/>
                    </a:stretch>
                  </pic:blipFill>
                  <pic:spPr>
                    <a:xfrm>
                      <a:off x="0" y="0"/>
                      <a:ext cx="5271135" cy="1819275"/>
                    </a:xfrm>
                    <a:prstGeom prst="rect">
                      <a:avLst/>
                    </a:prstGeom>
                  </pic:spPr>
                </pic:pic>
              </a:graphicData>
            </a:graphic>
          </wp:inline>
        </w:drawing>
      </w:r>
    </w:p>
    <w:p w14:paraId="02D690EC">
      <w:pPr>
        <w:spacing w:line="360" w:lineRule="auto"/>
        <w:jc w:val="center"/>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w:t>
      </w:r>
      <w:r>
        <w:rPr>
          <w:rFonts w:hint="eastAsia" w:asciiTheme="minorEastAsia" w:hAnsiTheme="minorEastAsia" w:cstheme="minorEastAsia"/>
          <w:sz w:val="28"/>
          <w:szCs w:val="28"/>
          <w:lang w:val="en-US" w:eastAsia="zh-CN"/>
        </w:rPr>
        <w:t>10</w:t>
      </w:r>
    </w:p>
    <w:p w14:paraId="1FD08D01">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部门账务信息</w:t>
      </w:r>
    </w:p>
    <w:p w14:paraId="14C59A8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部门账务信息模块主要面向部门领导人，支持其便捷查询本部门负责项目的财务信息，具体包括部门收支信息（按部门月份）、部门账务总览和支出费用明细表。</w:t>
      </w:r>
    </w:p>
    <w:p w14:paraId="69A229B8">
      <w:pPr>
        <w:keepNext w:val="0"/>
        <w:keepLines w:val="0"/>
        <w:pageBreakBefore w:val="0"/>
        <w:widowControl/>
        <w:numPr>
          <w:numId w:val="0"/>
        </w:numPr>
        <w:suppressLineNumbers w:val="0"/>
        <w:kinsoku/>
        <w:wordWrap/>
        <w:overflowPunct/>
        <w:topLinePunct w:val="0"/>
        <w:autoSpaceDE/>
        <w:autoSpaceDN/>
        <w:bidi w:val="0"/>
        <w:adjustRightInd/>
        <w:snapToGrid/>
        <w:ind w:firstLine="560" w:firstLineChars="200"/>
        <w:jc w:val="left"/>
        <w:textAlignment w:val="auto"/>
        <w:rPr>
          <w:rFonts w:hint="eastAsia"/>
          <w:lang w:val="en-US" w:eastAsia="zh-CN"/>
        </w:rPr>
      </w:pPr>
      <w:r>
        <w:rPr>
          <w:rFonts w:hint="eastAsia" w:asciiTheme="minorEastAsia" w:hAnsiTheme="minorEastAsia" w:cstheme="minorEastAsia"/>
          <w:color w:val="auto"/>
          <w:sz w:val="28"/>
          <w:szCs w:val="28"/>
          <w:lang w:val="en-US" w:eastAsia="zh-CN"/>
        </w:rPr>
        <w:t>1.部门收支信息（按部门月份）支持按需查询，可通过指定查询年度、起始月份、具体项目、负责人等筛选条件，快速查询本部门负责的项目每月的收支金额情况。系统同时支持Excel，Pdf文件导出，方便数据留存与后续使用。如图11所示。</w:t>
      </w:r>
      <w:r>
        <w:drawing>
          <wp:inline distT="0" distB="0" distL="114300" distR="114300">
            <wp:extent cx="5266690" cy="2583815"/>
            <wp:effectExtent l="0" t="0" r="1016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66690" cy="2583815"/>
                    </a:xfrm>
                    <a:prstGeom prst="rect">
                      <a:avLst/>
                    </a:prstGeom>
                    <a:noFill/>
                    <a:ln>
                      <a:noFill/>
                    </a:ln>
                  </pic:spPr>
                </pic:pic>
              </a:graphicData>
            </a:graphic>
          </wp:inline>
        </w:drawing>
      </w:r>
    </w:p>
    <w:p w14:paraId="75955C5C">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eastAsiaTheme="minorEastAsia"/>
          <w:sz w:val="28"/>
          <w:szCs w:val="36"/>
          <w:lang w:val="en-US" w:eastAsia="zh-CN"/>
        </w:rPr>
      </w:pPr>
      <w:r>
        <w:rPr>
          <w:rFonts w:hint="eastAsia"/>
          <w:sz w:val="28"/>
          <w:szCs w:val="36"/>
          <w:lang w:val="en-US" w:eastAsia="zh-CN"/>
        </w:rPr>
        <w:t>图11</w:t>
      </w:r>
    </w:p>
    <w:p w14:paraId="431D9C4C">
      <w:pPr>
        <w:keepNext w:val="0"/>
        <w:keepLines w:val="0"/>
        <w:pageBreakBefore w:val="0"/>
        <w:widowControl/>
        <w:numPr>
          <w:numId w:val="0"/>
        </w:numPr>
        <w:suppressLineNumbers w:val="0"/>
        <w:kinsoku/>
        <w:wordWrap/>
        <w:overflowPunct/>
        <w:topLinePunct w:val="0"/>
        <w:autoSpaceDE/>
        <w:autoSpaceDN/>
        <w:bidi w:val="0"/>
        <w:adjustRightInd/>
        <w:snapToGrid/>
        <w:ind w:leftChars="0" w:firstLine="560" w:firstLineChars="200"/>
        <w:jc w:val="left"/>
        <w:textAlignment w:val="auto"/>
      </w:pPr>
      <w:r>
        <w:rPr>
          <w:rFonts w:hint="eastAsia" w:asciiTheme="minorEastAsia" w:hAnsiTheme="minorEastAsia" w:cstheme="minorEastAsia"/>
          <w:color w:val="auto"/>
          <w:sz w:val="28"/>
          <w:szCs w:val="28"/>
          <w:lang w:val="en-US" w:eastAsia="zh-CN"/>
        </w:rPr>
        <w:t>2.部门账务总览支持按需查询，可通过指定部门、具体项目、负责人等筛选条件，查询本部门负责项目的总账、借款、收支、预算执行等财务信息。系统同时支持Excel，Pdf文件导出，方便数据留存与后续使用。</w:t>
      </w:r>
      <w:r>
        <w:rPr>
          <w:rFonts w:hint="eastAsia" w:asciiTheme="minorEastAsia" w:hAnsiTheme="minorEastAsia" w:cstheme="minorEastAsia"/>
          <w:sz w:val="28"/>
          <w:szCs w:val="28"/>
          <w:lang w:val="en-US" w:eastAsia="zh-CN"/>
        </w:rPr>
        <w:t>如图12所示。</w:t>
      </w:r>
    </w:p>
    <w:p w14:paraId="2A26CFE5">
      <w:pPr>
        <w:keepNext w:val="0"/>
        <w:keepLines w:val="0"/>
        <w:pageBreakBefore w:val="0"/>
        <w:widowControl/>
        <w:numPr>
          <w:numId w:val="0"/>
        </w:numPr>
        <w:suppressLineNumbers w:val="0"/>
        <w:kinsoku/>
        <w:wordWrap/>
        <w:overflowPunct/>
        <w:topLinePunct w:val="0"/>
        <w:autoSpaceDE/>
        <w:autoSpaceDN/>
        <w:bidi w:val="0"/>
        <w:adjustRightInd/>
        <w:snapToGrid/>
        <w:jc w:val="left"/>
        <w:textAlignment w:val="auto"/>
      </w:pPr>
      <w:r>
        <w:drawing>
          <wp:inline distT="0" distB="0" distL="114300" distR="114300">
            <wp:extent cx="5266690" cy="2583815"/>
            <wp:effectExtent l="0" t="0" r="1016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14:paraId="360538F1">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sz w:val="28"/>
          <w:szCs w:val="36"/>
          <w:lang w:val="en-US" w:eastAsia="zh-CN"/>
        </w:rPr>
      </w:pPr>
      <w:r>
        <w:rPr>
          <w:rFonts w:hint="eastAsia"/>
          <w:sz w:val="28"/>
          <w:szCs w:val="36"/>
          <w:lang w:val="en-US" w:eastAsia="zh-CN"/>
        </w:rPr>
        <w:t>图12</w:t>
      </w:r>
    </w:p>
    <w:p w14:paraId="48E46B1B">
      <w:pPr>
        <w:keepNext w:val="0"/>
        <w:keepLines w:val="0"/>
        <w:pageBreakBefore w:val="0"/>
        <w:widowControl/>
        <w:numPr>
          <w:numId w:val="0"/>
        </w:numPr>
        <w:suppressLineNumbers w:val="0"/>
        <w:kinsoku/>
        <w:wordWrap/>
        <w:overflowPunct/>
        <w:topLinePunct w:val="0"/>
        <w:autoSpaceDE/>
        <w:autoSpaceDN/>
        <w:bidi w:val="0"/>
        <w:adjustRightInd/>
        <w:snapToGrid/>
        <w:ind w:leftChars="0" w:firstLine="560" w:firstLineChars="200"/>
        <w:jc w:val="left"/>
        <w:textAlignment w:val="auto"/>
      </w:pPr>
      <w:r>
        <w:rPr>
          <w:rFonts w:hint="eastAsia" w:asciiTheme="minorEastAsia" w:hAnsiTheme="minorEastAsia" w:cstheme="minorEastAsia"/>
          <w:color w:val="auto"/>
          <w:sz w:val="28"/>
          <w:szCs w:val="28"/>
          <w:lang w:val="en-US" w:eastAsia="zh-CN"/>
        </w:rPr>
        <w:t>3.</w:t>
      </w:r>
      <w:bookmarkStart w:id="0" w:name="_GoBack"/>
      <w:bookmarkEnd w:id="0"/>
      <w:r>
        <w:rPr>
          <w:rFonts w:hint="eastAsia" w:asciiTheme="minorEastAsia" w:hAnsiTheme="minorEastAsia" w:cstheme="minorEastAsia"/>
          <w:color w:val="auto"/>
          <w:sz w:val="28"/>
          <w:szCs w:val="28"/>
          <w:lang w:val="en-US" w:eastAsia="zh-CN"/>
        </w:rPr>
        <w:t>支出费用明细表支持按需查询，可通过指定会计年度、起始月份、科目级次等，查询本部门负责项目的按经济分类的汇总金额及明细表。</w:t>
      </w:r>
      <w:r>
        <w:rPr>
          <w:rFonts w:hint="eastAsia" w:asciiTheme="minorEastAsia" w:hAnsiTheme="minorEastAsia" w:cstheme="minorEastAsia"/>
          <w:sz w:val="28"/>
          <w:szCs w:val="28"/>
          <w:lang w:val="en-US" w:eastAsia="zh-CN"/>
        </w:rPr>
        <w:t>如图13所示。</w:t>
      </w:r>
      <w:r>
        <w:drawing>
          <wp:inline distT="0" distB="0" distL="114300" distR="114300">
            <wp:extent cx="5266690" cy="2583815"/>
            <wp:effectExtent l="0" t="0" r="1016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266690" cy="2583815"/>
                    </a:xfrm>
                    <a:prstGeom prst="rect">
                      <a:avLst/>
                    </a:prstGeom>
                    <a:noFill/>
                    <a:ln>
                      <a:noFill/>
                    </a:ln>
                  </pic:spPr>
                </pic:pic>
              </a:graphicData>
            </a:graphic>
          </wp:inline>
        </w:drawing>
      </w:r>
    </w:p>
    <w:p w14:paraId="5F6DC2A3">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sz w:val="28"/>
          <w:szCs w:val="36"/>
          <w:lang w:val="en-US" w:eastAsia="zh-CN"/>
        </w:rPr>
      </w:pPr>
      <w:r>
        <w:rPr>
          <w:rFonts w:hint="eastAsia"/>
          <w:sz w:val="28"/>
          <w:szCs w:val="36"/>
          <w:lang w:val="en-US" w:eastAsia="zh-CN"/>
        </w:rPr>
        <w:t>图13</w:t>
      </w:r>
    </w:p>
    <w:p w14:paraId="7BB84D7B">
      <w:pPr>
        <w:keepNext w:val="0"/>
        <w:keepLines w:val="0"/>
        <w:pageBreakBefore w:val="0"/>
        <w:widowControl/>
        <w:numPr>
          <w:ilvl w:val="0"/>
          <w:numId w:val="3"/>
        </w:numPr>
        <w:suppressLineNumbers w:val="0"/>
        <w:kinsoku/>
        <w:wordWrap/>
        <w:overflowPunct/>
        <w:topLinePunct w:val="0"/>
        <w:autoSpaceDE/>
        <w:autoSpaceDN/>
        <w:bidi w:val="0"/>
        <w:adjustRightInd/>
        <w:snapToGrid/>
        <w:ind w:firstLine="562" w:firstLineChars="200"/>
        <w:jc w:val="left"/>
        <w:textAlignment w:val="auto"/>
        <w:rPr>
          <w:rStyle w:val="5"/>
          <w:rFonts w:hint="eastAsia" w:ascii="楷体" w:hAnsi="楷体" w:eastAsia="楷体" w:cs="楷体"/>
          <w:kern w:val="0"/>
          <w:sz w:val="28"/>
          <w:szCs w:val="28"/>
          <w:lang w:val="en-US" w:eastAsia="zh-CN" w:bidi="ar"/>
        </w:rPr>
      </w:pPr>
      <w:r>
        <w:rPr>
          <w:rStyle w:val="5"/>
          <w:rFonts w:hint="eastAsia" w:ascii="楷体" w:hAnsi="楷体" w:eastAsia="楷体" w:cs="楷体"/>
          <w:kern w:val="0"/>
          <w:sz w:val="28"/>
          <w:szCs w:val="28"/>
          <w:lang w:val="en-US" w:eastAsia="zh-CN" w:bidi="ar"/>
        </w:rPr>
        <w:t>教职工信息</w:t>
      </w:r>
    </w:p>
    <w:p w14:paraId="0A5F9494">
      <w:pPr>
        <w:keepNext w:val="0"/>
        <w:keepLines w:val="0"/>
        <w:widowControl/>
        <w:numPr>
          <w:ilvl w:val="0"/>
          <w:numId w:val="0"/>
        </w:numPr>
        <w:suppressLineNumbers w:val="0"/>
        <w:jc w:val="left"/>
        <w:rPr>
          <w:rFonts w:ascii="宋体" w:hAnsi="宋体" w:eastAsia="宋体" w:cs="宋体"/>
          <w:b w:val="0"/>
          <w:bCs/>
          <w:spacing w:val="15"/>
          <w:kern w:val="0"/>
          <w:sz w:val="24"/>
          <w:szCs w:val="24"/>
          <w:lang w:val="en-US" w:eastAsia="zh-CN" w:bidi="ar"/>
        </w:rPr>
      </w:pPr>
    </w:p>
    <w:p w14:paraId="5C4A318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本模块也是面向部门领导人的功能模块，可查询部门校内劳务发放信息。</w:t>
      </w:r>
    </w:p>
    <w:p w14:paraId="6553EC9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先输入起止日期，再通过选择部门、人员或项目来进行更精准查询，还可选择按人员、按年度、按发放项目进行分组查询。</w:t>
      </w:r>
      <w:r>
        <w:rPr>
          <w:rFonts w:hint="eastAsia" w:asciiTheme="minorEastAsia" w:hAnsiTheme="minorEastAsia" w:cstheme="minorEastAsia"/>
          <w:sz w:val="28"/>
          <w:szCs w:val="28"/>
          <w:lang w:val="en-US" w:eastAsia="zh-CN"/>
        </w:rPr>
        <w:t>如图14所示。</w:t>
      </w:r>
    </w:p>
    <w:p w14:paraId="32219626">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pPr>
      <w:r>
        <w:drawing>
          <wp:inline distT="0" distB="0" distL="114300" distR="114300">
            <wp:extent cx="5266690" cy="2583815"/>
            <wp:effectExtent l="0" t="0" r="10160"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p w14:paraId="75BB0798">
      <w:pPr>
        <w:keepNext w:val="0"/>
        <w:keepLines w:val="0"/>
        <w:pageBreakBefore w:val="0"/>
        <w:widowControl/>
        <w:suppressLineNumbers w:val="0"/>
        <w:kinsoku/>
        <w:wordWrap/>
        <w:overflowPunct/>
        <w:topLinePunct w:val="0"/>
        <w:autoSpaceDE/>
        <w:autoSpaceDN/>
        <w:bidi w:val="0"/>
        <w:adjustRightInd/>
        <w:snapToGrid/>
        <w:ind w:firstLine="560" w:firstLineChars="200"/>
        <w:jc w:val="center"/>
        <w:textAlignment w:val="auto"/>
        <w:rPr>
          <w:rFonts w:hint="default" w:eastAsiaTheme="minorEastAsia"/>
          <w:sz w:val="28"/>
          <w:szCs w:val="36"/>
          <w:lang w:val="en-US" w:eastAsia="zh-CN"/>
        </w:rPr>
      </w:pPr>
      <w:r>
        <w:rPr>
          <w:rFonts w:hint="eastAsia"/>
          <w:sz w:val="28"/>
          <w:szCs w:val="36"/>
          <w:lang w:val="en-US" w:eastAsia="zh-CN"/>
        </w:rPr>
        <w:t>图14</w:t>
      </w:r>
    </w:p>
    <w:p w14:paraId="0A110923">
      <w:pPr>
        <w:rPr>
          <w:rFonts w:hint="eastAsia"/>
          <w:lang w:val="en-US" w:eastAsia="zh-CN"/>
        </w:rPr>
      </w:pPr>
    </w:p>
    <w:p w14:paraId="060AFDD8">
      <w:pPr>
        <w:keepNext w:val="0"/>
        <w:keepLines w:val="0"/>
        <w:pageBreakBefore w:val="0"/>
        <w:widowControl/>
        <w:suppressLineNumbers w:val="0"/>
        <w:kinsoku/>
        <w:wordWrap/>
        <w:overflowPunct/>
        <w:topLinePunct w:val="0"/>
        <w:autoSpaceDE/>
        <w:autoSpaceDN/>
        <w:bidi w:val="0"/>
        <w:adjustRightInd/>
        <w:snapToGrid/>
        <w:spacing w:line="560" w:lineRule="exact"/>
        <w:ind w:left="760" w:leftChars="228" w:hanging="281" w:hangingChars="100"/>
        <w:jc w:val="left"/>
        <w:textAlignment w:val="auto"/>
        <w:rPr>
          <w:rStyle w:val="5"/>
          <w:rFonts w:hint="eastAsia" w:ascii="宋体" w:hAnsi="宋体" w:eastAsia="宋体" w:cs="宋体"/>
          <w:kern w:val="0"/>
          <w:sz w:val="28"/>
          <w:szCs w:val="28"/>
          <w:lang w:val="en-US" w:eastAsia="zh-CN" w:bidi="ar"/>
        </w:rPr>
      </w:pPr>
      <w:r>
        <w:rPr>
          <w:rStyle w:val="5"/>
          <w:rFonts w:hint="eastAsia" w:ascii="宋体" w:hAnsi="宋体" w:eastAsia="宋体" w:cs="宋体"/>
          <w:kern w:val="0"/>
          <w:sz w:val="28"/>
          <w:szCs w:val="28"/>
          <w:lang w:val="en-US" w:eastAsia="zh-CN" w:bidi="ar"/>
        </w:rPr>
        <w:t>三、咨询电话</w:t>
      </w:r>
    </w:p>
    <w:p w14:paraId="449423E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如果您在使用财务智慧查询系统时遇到问题，可以拨打电话咨询计划财务处各科室。</w:t>
      </w:r>
    </w:p>
    <w:p w14:paraId="635C939D">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562" w:firstLineChars="200"/>
        <w:jc w:val="left"/>
        <w:textAlignment w:val="auto"/>
        <w:rPr>
          <w:rFonts w:hint="eastAsia"/>
          <w:b w:val="0"/>
          <w:bCs w:val="0"/>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账务总览、工资信息和部门账务信息模块</w:t>
      </w:r>
      <w:r>
        <w:rPr>
          <w:rFonts w:hint="eastAsia"/>
          <w:b w:val="0"/>
          <w:bCs w:val="0"/>
          <w:color w:val="000000" w:themeColor="text1"/>
          <w:sz w:val="28"/>
          <w:szCs w:val="28"/>
          <w:lang w:val="en-US" w:eastAsia="zh-CN"/>
          <w14:textFill>
            <w14:solidFill>
              <w14:schemeClr w14:val="tx1"/>
            </w14:solidFill>
          </w14:textFill>
        </w:rPr>
        <w:t>数据如有疑问，请联系预算管理科，办</w:t>
      </w:r>
      <w:r>
        <w:rPr>
          <w:rFonts w:hint="eastAsia" w:asciiTheme="minorEastAsia" w:hAnsiTheme="minorEastAsia" w:cstheme="minorEastAsia"/>
          <w:color w:val="auto"/>
          <w:sz w:val="28"/>
          <w:szCs w:val="28"/>
          <w:lang w:val="en-US" w:eastAsia="zh-CN"/>
        </w:rPr>
        <w:t>公电话0533-2780015</w:t>
      </w:r>
      <w:r>
        <w:rPr>
          <w:rFonts w:hint="eastAsia"/>
          <w:b w:val="0"/>
          <w:bCs w:val="0"/>
          <w:color w:val="000000" w:themeColor="text1"/>
          <w:sz w:val="28"/>
          <w:szCs w:val="28"/>
          <w:lang w:val="en-US" w:eastAsia="zh-CN"/>
          <w14:textFill>
            <w14:solidFill>
              <w14:schemeClr w14:val="tx1"/>
            </w14:solidFill>
          </w14:textFill>
        </w:rPr>
        <w:t>。</w:t>
      </w:r>
    </w:p>
    <w:p w14:paraId="63806EDE">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2.</w:t>
      </w:r>
      <w:r>
        <w:rPr>
          <w:rFonts w:hint="eastAsia" w:asciiTheme="minorEastAsia" w:hAnsiTheme="minorEastAsia" w:cstheme="minorEastAsia"/>
          <w:b/>
          <w:bCs/>
          <w:color w:val="auto"/>
          <w:sz w:val="28"/>
          <w:szCs w:val="28"/>
          <w:lang w:val="en-US" w:eastAsia="zh-CN"/>
        </w:rPr>
        <w:t>账务信息、来款信息、报销款信息模块</w:t>
      </w:r>
      <w:r>
        <w:rPr>
          <w:rFonts w:hint="eastAsia" w:asciiTheme="minorEastAsia" w:hAnsiTheme="minorEastAsia" w:cstheme="minorEastAsia"/>
          <w:b w:val="0"/>
          <w:bCs w:val="0"/>
          <w:color w:val="auto"/>
          <w:sz w:val="28"/>
          <w:szCs w:val="28"/>
          <w:lang w:val="en-US" w:eastAsia="zh-CN"/>
        </w:rPr>
        <w:t>数据</w:t>
      </w:r>
      <w:r>
        <w:rPr>
          <w:rFonts w:hint="eastAsia" w:asciiTheme="minorEastAsia" w:hAnsiTheme="minorEastAsia" w:cstheme="minorEastAsia"/>
          <w:color w:val="auto"/>
          <w:sz w:val="28"/>
          <w:szCs w:val="28"/>
          <w:lang w:val="en-US" w:eastAsia="zh-CN"/>
        </w:rPr>
        <w:t>如有疑问，请联系经费核算科，办公电话 0533-2781982</w:t>
      </w:r>
    </w:p>
    <w:p w14:paraId="455E6B1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3.财务系统使用中的其他问题，请联系内部控制与信息化科，办公电话 0533-2785630</w:t>
      </w:r>
    </w:p>
    <w:p w14:paraId="7CB1E51F">
      <w:pPr>
        <w:numPr>
          <w:ilvl w:val="0"/>
          <w:numId w:val="0"/>
        </w:numPr>
        <w:ind w:leftChars="0"/>
        <w:rPr>
          <w:rFonts w:hint="default"/>
          <w:b/>
          <w:bCs/>
          <w:color w:val="FF000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69997"/>
    <w:multiLevelType w:val="singleLevel"/>
    <w:tmpl w:val="01669997"/>
    <w:lvl w:ilvl="0" w:tentative="0">
      <w:start w:val="1"/>
      <w:numFmt w:val="chineseCounting"/>
      <w:suff w:val="nothing"/>
      <w:lvlText w:val="%1、"/>
      <w:lvlJc w:val="left"/>
      <w:rPr>
        <w:rFonts w:hint="eastAsia"/>
      </w:rPr>
    </w:lvl>
  </w:abstractNum>
  <w:abstractNum w:abstractNumId="1">
    <w:nsid w:val="3DA05ADC"/>
    <w:multiLevelType w:val="singleLevel"/>
    <w:tmpl w:val="3DA05ADC"/>
    <w:lvl w:ilvl="0" w:tentative="0">
      <w:start w:val="1"/>
      <w:numFmt w:val="decimal"/>
      <w:suff w:val="space"/>
      <w:lvlText w:val="%1."/>
      <w:lvlJc w:val="left"/>
    </w:lvl>
  </w:abstractNum>
  <w:abstractNum w:abstractNumId="2">
    <w:nsid w:val="4358701E"/>
    <w:multiLevelType w:val="singleLevel"/>
    <w:tmpl w:val="4358701E"/>
    <w:lvl w:ilvl="0" w:tentative="0">
      <w:start w:val="1"/>
      <w:numFmt w:val="decimal"/>
      <w:lvlText w:val="%1."/>
      <w:lvlJc w:val="left"/>
      <w:pPr>
        <w:tabs>
          <w:tab w:val="left" w:pos="312"/>
        </w:tabs>
      </w:pPr>
    </w:lvl>
  </w:abstractNum>
  <w:abstractNum w:abstractNumId="3">
    <w:nsid w:val="64DBE43C"/>
    <w:multiLevelType w:val="singleLevel"/>
    <w:tmpl w:val="64DBE43C"/>
    <w:lvl w:ilvl="0" w:tentative="0">
      <w:start w:val="1"/>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E0632"/>
    <w:rsid w:val="019A41B9"/>
    <w:rsid w:val="01DD3C4D"/>
    <w:rsid w:val="027756BF"/>
    <w:rsid w:val="02AB3D4B"/>
    <w:rsid w:val="046D17C2"/>
    <w:rsid w:val="0548762F"/>
    <w:rsid w:val="05EA2DDC"/>
    <w:rsid w:val="0687687D"/>
    <w:rsid w:val="07601EE6"/>
    <w:rsid w:val="08852948"/>
    <w:rsid w:val="08A165D7"/>
    <w:rsid w:val="09606B8F"/>
    <w:rsid w:val="0B0D1E69"/>
    <w:rsid w:val="0DEE43F5"/>
    <w:rsid w:val="0E197DBB"/>
    <w:rsid w:val="0E356BBF"/>
    <w:rsid w:val="0E770F85"/>
    <w:rsid w:val="0F121B26"/>
    <w:rsid w:val="0F784FB5"/>
    <w:rsid w:val="0F8B4CE8"/>
    <w:rsid w:val="0FB87AA7"/>
    <w:rsid w:val="102E38E7"/>
    <w:rsid w:val="105E064F"/>
    <w:rsid w:val="10E02E12"/>
    <w:rsid w:val="11603D51"/>
    <w:rsid w:val="13A16E20"/>
    <w:rsid w:val="170F61FF"/>
    <w:rsid w:val="18194337"/>
    <w:rsid w:val="18294A9A"/>
    <w:rsid w:val="19445F08"/>
    <w:rsid w:val="19BC47A3"/>
    <w:rsid w:val="19C75126"/>
    <w:rsid w:val="1B063DBD"/>
    <w:rsid w:val="1B783CA7"/>
    <w:rsid w:val="1BFF4BE1"/>
    <w:rsid w:val="1C5F3784"/>
    <w:rsid w:val="1C7879D5"/>
    <w:rsid w:val="1D65301C"/>
    <w:rsid w:val="1E7B5AE8"/>
    <w:rsid w:val="1F4849A4"/>
    <w:rsid w:val="1FB42039"/>
    <w:rsid w:val="21097998"/>
    <w:rsid w:val="21162B31"/>
    <w:rsid w:val="2120725A"/>
    <w:rsid w:val="218B6DCA"/>
    <w:rsid w:val="21A63C04"/>
    <w:rsid w:val="21D02A2F"/>
    <w:rsid w:val="22412273"/>
    <w:rsid w:val="22A30143"/>
    <w:rsid w:val="22CE5255"/>
    <w:rsid w:val="22D57390"/>
    <w:rsid w:val="23233C3B"/>
    <w:rsid w:val="23C25C25"/>
    <w:rsid w:val="23E76022"/>
    <w:rsid w:val="25084F27"/>
    <w:rsid w:val="25257535"/>
    <w:rsid w:val="2657126A"/>
    <w:rsid w:val="266279B6"/>
    <w:rsid w:val="26C1503C"/>
    <w:rsid w:val="26D87A3F"/>
    <w:rsid w:val="27CF4958"/>
    <w:rsid w:val="285665F2"/>
    <w:rsid w:val="28E374EB"/>
    <w:rsid w:val="29B64C84"/>
    <w:rsid w:val="2A693A20"/>
    <w:rsid w:val="2A8D72E7"/>
    <w:rsid w:val="2CC969F8"/>
    <w:rsid w:val="2D297497"/>
    <w:rsid w:val="2DEC6E42"/>
    <w:rsid w:val="2F01691D"/>
    <w:rsid w:val="2F1523C9"/>
    <w:rsid w:val="2F177EEF"/>
    <w:rsid w:val="2FA44F70"/>
    <w:rsid w:val="32F80037"/>
    <w:rsid w:val="335C4122"/>
    <w:rsid w:val="339A10EE"/>
    <w:rsid w:val="33D57001"/>
    <w:rsid w:val="345B6AD0"/>
    <w:rsid w:val="346534AA"/>
    <w:rsid w:val="34740704"/>
    <w:rsid w:val="35377E73"/>
    <w:rsid w:val="356E2833"/>
    <w:rsid w:val="37D3697D"/>
    <w:rsid w:val="394D6D52"/>
    <w:rsid w:val="397C2870"/>
    <w:rsid w:val="39ED01CA"/>
    <w:rsid w:val="3BDD02C5"/>
    <w:rsid w:val="3C0454EB"/>
    <w:rsid w:val="3C5B6581"/>
    <w:rsid w:val="3C8D3764"/>
    <w:rsid w:val="40161AFD"/>
    <w:rsid w:val="405A7C3B"/>
    <w:rsid w:val="414B08D8"/>
    <w:rsid w:val="41E2438C"/>
    <w:rsid w:val="42A258CA"/>
    <w:rsid w:val="43496876"/>
    <w:rsid w:val="434F77FF"/>
    <w:rsid w:val="4382735C"/>
    <w:rsid w:val="43B64F75"/>
    <w:rsid w:val="460B1E86"/>
    <w:rsid w:val="46D5626E"/>
    <w:rsid w:val="478F4065"/>
    <w:rsid w:val="484C255F"/>
    <w:rsid w:val="4A407C50"/>
    <w:rsid w:val="4A6855C7"/>
    <w:rsid w:val="4B045373"/>
    <w:rsid w:val="4C7A5831"/>
    <w:rsid w:val="4CFC3EC0"/>
    <w:rsid w:val="4F7E3941"/>
    <w:rsid w:val="4FB07878"/>
    <w:rsid w:val="51523EFE"/>
    <w:rsid w:val="51D33CF1"/>
    <w:rsid w:val="542919A7"/>
    <w:rsid w:val="542B571F"/>
    <w:rsid w:val="5470546B"/>
    <w:rsid w:val="54B14D43"/>
    <w:rsid w:val="554051FA"/>
    <w:rsid w:val="555E38D2"/>
    <w:rsid w:val="55B07EC1"/>
    <w:rsid w:val="55D83684"/>
    <w:rsid w:val="5640708C"/>
    <w:rsid w:val="56F86467"/>
    <w:rsid w:val="57580F21"/>
    <w:rsid w:val="585D4315"/>
    <w:rsid w:val="58B02BA5"/>
    <w:rsid w:val="599259E9"/>
    <w:rsid w:val="5AD32451"/>
    <w:rsid w:val="5AEF74C9"/>
    <w:rsid w:val="5AF8134E"/>
    <w:rsid w:val="5C074CC3"/>
    <w:rsid w:val="5C6927EC"/>
    <w:rsid w:val="5D8F5802"/>
    <w:rsid w:val="5EA17159"/>
    <w:rsid w:val="5EB01642"/>
    <w:rsid w:val="5FE936F7"/>
    <w:rsid w:val="61A42FB4"/>
    <w:rsid w:val="63F7561D"/>
    <w:rsid w:val="641C19BC"/>
    <w:rsid w:val="64A66E0A"/>
    <w:rsid w:val="65026BA0"/>
    <w:rsid w:val="654148A5"/>
    <w:rsid w:val="66664CDC"/>
    <w:rsid w:val="66AB26EF"/>
    <w:rsid w:val="66EC3434"/>
    <w:rsid w:val="67874F0A"/>
    <w:rsid w:val="683A1F7D"/>
    <w:rsid w:val="684D1CB0"/>
    <w:rsid w:val="69653029"/>
    <w:rsid w:val="69B33D95"/>
    <w:rsid w:val="6AE82164"/>
    <w:rsid w:val="6DAC7479"/>
    <w:rsid w:val="6DC8010A"/>
    <w:rsid w:val="6EF7327A"/>
    <w:rsid w:val="70486052"/>
    <w:rsid w:val="70F25BF0"/>
    <w:rsid w:val="717267FE"/>
    <w:rsid w:val="72BD2E4A"/>
    <w:rsid w:val="73495A4E"/>
    <w:rsid w:val="74150FB4"/>
    <w:rsid w:val="760F1A0B"/>
    <w:rsid w:val="76EB7264"/>
    <w:rsid w:val="770E6AAE"/>
    <w:rsid w:val="77690189"/>
    <w:rsid w:val="780B1240"/>
    <w:rsid w:val="797A667D"/>
    <w:rsid w:val="7B0859F2"/>
    <w:rsid w:val="7B100A0D"/>
    <w:rsid w:val="7D861F78"/>
    <w:rsid w:val="7DAF27E7"/>
    <w:rsid w:val="7E0522D0"/>
    <w:rsid w:val="7ED53640"/>
    <w:rsid w:val="7EF40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1941</Words>
  <Characters>2082</Characters>
  <Lines>0</Lines>
  <Paragraphs>0</Paragraphs>
  <TotalTime>15</TotalTime>
  <ScaleCrop>false</ScaleCrop>
  <LinksUpToDate>false</LinksUpToDate>
  <CharactersWithSpaces>2126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2025-08-14T03:17:00Z</dcterms:created>
  <dc:creator>Zhang</dc:creator>
  <cp:lastModifiedBy>章小鱼。</cp:lastModifiedBy>
  <dcterms:modified xsi:type="dcterms:W3CDTF">2025-08-29T00:42:05Z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eyJoZGlkIjoiYzkwMTNjNWJiYjMwNWEzYWJjMmFlODUzMTM3YTU3NzUiLCJ1c2VySWQiOiIzMTg4NTcxMDcifQ==</vt:lpwstr>
  </property>
  <property fmtid="{D5CDD505-2E9C-101B-9397-08002B2CF9AE}" pid="4" name="ICV">
    <vt:lpwstr>87854400078747DEAF6AD8ECBBC0CFA7_13</vt:lpwstr>
  </property>
</Properties>
</file>